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left" w:pos="1701"/>
          <w:tab w:val="right" w:pos="9923"/>
        </w:tabs>
        <w:rPr>
          <w:rFonts w:hint="default" w:eastAsia="宋体"/>
          <w:sz w:val="24"/>
          <w:szCs w:val="24"/>
          <w:lang w:val="en-US" w:eastAsia="zh-CN"/>
        </w:rPr>
      </w:pPr>
      <w:bookmarkStart w:id="0" w:name="_Toc193024528"/>
      <w:r>
        <w:rPr>
          <w:sz w:val="24"/>
          <w:szCs w:val="24"/>
        </w:rPr>
        <w:t>3GPP TSG-RAN WG2 Meeting #119bis electronic</w:t>
      </w:r>
      <w:r>
        <w:rPr>
          <w:sz w:val="24"/>
          <w:szCs w:val="24"/>
        </w:rPr>
        <w:tab/>
      </w:r>
      <w:r>
        <w:rPr>
          <w:sz w:val="24"/>
          <w:szCs w:val="24"/>
        </w:rPr>
        <w:t>R2-2</w:t>
      </w:r>
      <w:r>
        <w:rPr>
          <w:rFonts w:hint="eastAsia" w:eastAsia="宋体"/>
          <w:sz w:val="24"/>
          <w:szCs w:val="24"/>
          <w:lang w:val="en-US" w:eastAsia="zh-CN"/>
        </w:rPr>
        <w:t>209616</w:t>
      </w:r>
    </w:p>
    <w:p>
      <w:pPr>
        <w:pStyle w:val="33"/>
        <w:tabs>
          <w:tab w:val="left" w:pos="1701"/>
          <w:tab w:val="right" w:pos="9923"/>
        </w:tabs>
        <w:rPr>
          <w:sz w:val="24"/>
          <w:szCs w:val="24"/>
        </w:rPr>
      </w:pPr>
      <w:r>
        <w:rPr>
          <w:sz w:val="24"/>
          <w:szCs w:val="24"/>
        </w:rPr>
        <w:t xml:space="preserve">Online, </w:t>
      </w:r>
      <w:r>
        <w:rPr>
          <w:rFonts w:hint="eastAsia"/>
          <w:sz w:val="24"/>
          <w:szCs w:val="24"/>
          <w:lang w:val="en-US" w:eastAsia="zh-CN"/>
        </w:rPr>
        <w:t>10</w:t>
      </w:r>
      <w:r>
        <w:rPr>
          <w:rFonts w:hint="eastAsia"/>
          <w:sz w:val="24"/>
          <w:szCs w:val="24"/>
          <w:vertAlign w:val="superscript"/>
          <w:lang w:val="en-US" w:eastAsia="zh-CN"/>
        </w:rPr>
        <w:t>th</w:t>
      </w:r>
      <w:r>
        <w:rPr>
          <w:rFonts w:hint="eastAsia"/>
          <w:sz w:val="24"/>
          <w:szCs w:val="24"/>
          <w:lang w:val="en-US" w:eastAsia="zh-CN"/>
        </w:rPr>
        <w:t xml:space="preserve"> - 19</w:t>
      </w:r>
      <w:r>
        <w:rPr>
          <w:rFonts w:hint="eastAsia"/>
          <w:sz w:val="24"/>
          <w:szCs w:val="24"/>
          <w:vertAlign w:val="superscript"/>
          <w:lang w:val="en-US" w:eastAsia="zh-CN"/>
        </w:rPr>
        <w:t>th</w:t>
      </w:r>
      <w:r>
        <w:rPr>
          <w:rFonts w:hint="eastAsia"/>
          <w:sz w:val="24"/>
          <w:szCs w:val="24"/>
          <w:lang w:val="en-US" w:eastAsia="zh-CN"/>
        </w:rPr>
        <w:t xml:space="preserve"> October</w:t>
      </w:r>
      <w:r>
        <w:rPr>
          <w:sz w:val="24"/>
          <w:szCs w:val="24"/>
        </w:rPr>
        <w:t>, 2022</w:t>
      </w:r>
    </w:p>
    <w:p>
      <w:pPr>
        <w:pStyle w:val="32"/>
        <w:jc w:val="both"/>
        <w:rPr>
          <w:rFonts w:eastAsia="宋体"/>
          <w:b w:val="0"/>
          <w:i w:val="0"/>
          <w:sz w:val="24"/>
          <w:lang w:eastAsia="zh-CN"/>
        </w:rPr>
      </w:pP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Discussion on mobility enhancement for mobile IAB</w:t>
      </w:r>
    </w:p>
    <w:p>
      <w:pPr>
        <w:tabs>
          <w:tab w:val="left" w:pos="1985"/>
        </w:tabs>
        <w:jc w:val="both"/>
        <w:rPr>
          <w:rStyle w:val="160"/>
          <w:b/>
          <w:lang w:val="fr-FR"/>
        </w:rPr>
      </w:pPr>
      <w:r>
        <w:rPr>
          <w:rFonts w:ascii="Arial" w:hAnsi="Arial"/>
          <w:b/>
          <w:sz w:val="24"/>
          <w:lang w:val="fr-FR"/>
        </w:rPr>
        <w:t xml:space="preserve">Source: </w:t>
      </w:r>
      <w:r>
        <w:rPr>
          <w:rFonts w:ascii="Arial" w:hAnsi="Arial"/>
          <w:b/>
          <w:sz w:val="24"/>
          <w:lang w:val="fr-FR"/>
        </w:rPr>
        <w:tab/>
      </w:r>
      <w:r>
        <w:rPr>
          <w:rStyle w:val="160"/>
          <w:rFonts w:hint="eastAsia"/>
          <w:b/>
          <w:lang w:val="fr-FR"/>
        </w:rPr>
        <w:t>ZTE</w:t>
      </w:r>
    </w:p>
    <w:p>
      <w:pPr>
        <w:tabs>
          <w:tab w:val="left" w:pos="1985"/>
        </w:tabs>
        <w:jc w:val="both"/>
        <w:rPr>
          <w:rStyle w:val="160"/>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w:t>
      </w:r>
      <w:r>
        <w:rPr>
          <w:rFonts w:ascii="Arial" w:hAnsi="Arial"/>
          <w:b/>
          <w:sz w:val="24"/>
          <w:lang w:val="pt-BR" w:eastAsia="zh-CN"/>
        </w:rPr>
        <w:t>.</w:t>
      </w:r>
      <w:r>
        <w:rPr>
          <w:rFonts w:hint="eastAsia" w:ascii="Arial" w:hAnsi="Arial"/>
          <w:b/>
          <w:sz w:val="24"/>
          <w:lang w:val="en-US" w:eastAsia="zh-CN"/>
        </w:rPr>
        <w:t>12</w:t>
      </w:r>
      <w:r>
        <w:rPr>
          <w:rFonts w:ascii="Arial" w:hAnsi="Arial"/>
          <w:b/>
          <w:sz w:val="24"/>
          <w:lang w:val="pt-BR" w:eastAsia="zh-CN"/>
        </w:rPr>
        <w:t>.</w:t>
      </w:r>
      <w:r>
        <w:rPr>
          <w:rFonts w:hint="eastAsia" w:ascii="Arial" w:hAnsi="Arial"/>
          <w:b/>
          <w:sz w:val="24"/>
          <w:lang w:val="en-US" w:eastAsia="zh-CN"/>
        </w:rPr>
        <w:t>2</w:t>
      </w:r>
    </w:p>
    <w:p>
      <w:pPr>
        <w:tabs>
          <w:tab w:val="left" w:pos="1985"/>
        </w:tabs>
        <w:ind w:left="1980" w:hanging="1980"/>
        <w:jc w:val="both"/>
        <w:rPr>
          <w:rStyle w:val="160"/>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rFonts w:eastAsia="宋体"/>
          <w:lang w:eastAsia="zh-CN"/>
        </w:rPr>
      </w:pPr>
      <w:r>
        <w:rPr>
          <w:rFonts w:hint="eastAsia" w:eastAsia="宋体"/>
          <w:lang w:eastAsia="zh-CN"/>
        </w:rPr>
        <w:t>Introduction</w:t>
      </w:r>
    </w:p>
    <w:p>
      <w:pPr>
        <w:rPr>
          <w:rFonts w:hint="eastAsia"/>
          <w:lang w:val="en-US" w:eastAsia="zh-CN"/>
        </w:rPr>
      </w:pPr>
      <w:r>
        <w:rPr>
          <w:rFonts w:hint="eastAsia"/>
          <w:lang w:val="en-US" w:eastAsia="zh-CN"/>
        </w:rPr>
        <w:t>During RAN2#119 meeting, the mobile IAB was discussed and the following agreements were reached:</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val="0"/>
              <w:autoSpaceDE w:val="0"/>
              <w:autoSpaceDN w:val="0"/>
              <w:adjustRightInd w:val="0"/>
              <w:spacing w:before="156" w:beforeLines="50"/>
              <w:jc w:val="both"/>
              <w:rPr>
                <w:rFonts w:ascii="CG Times (WN)" w:hAnsi="CG Times (WN)" w:eastAsia="Batang"/>
                <w:lang w:val="en-US" w:eastAsia="zh-CN"/>
              </w:rPr>
            </w:pPr>
            <w:r>
              <w:rPr>
                <w:rFonts w:hint="eastAsia" w:ascii="CG Times (WN)" w:hAnsi="CG Times (WN)" w:eastAsia="Batang"/>
                <w:lang w:val="en-US" w:eastAsia="zh-CN"/>
              </w:rPr>
              <w:t>The method of not broadcasting “iab-Support” indication, is sufficient to prevent other IAB-node from accessing mobile IAB (without further spec impact).</w:t>
            </w:r>
          </w:p>
          <w:p>
            <w:pPr>
              <w:overflowPunct w:val="0"/>
              <w:autoSpaceDE w:val="0"/>
              <w:autoSpaceDN w:val="0"/>
              <w:adjustRightInd w:val="0"/>
              <w:spacing w:before="156" w:beforeLines="50"/>
              <w:jc w:val="both"/>
              <w:rPr>
                <w:rFonts w:ascii="CG Times (WN)" w:hAnsi="CG Times (WN)" w:eastAsia="Batang"/>
                <w:lang w:val="en-US" w:eastAsia="zh-CN"/>
              </w:rPr>
            </w:pPr>
            <w:r>
              <w:rPr>
                <w:rFonts w:hint="eastAsia" w:ascii="CG Times (WN)" w:hAnsi="CG Times (WN)" w:eastAsia="Batang"/>
                <w:lang w:val="en-US" w:eastAsia="zh-CN"/>
              </w:rPr>
              <w:t>R2 assumes RACH-less procedure may be considered for on-board RRC_CONNECTED UEs, which are to be handed over together with the mobile IAB-node (would depend also on the assumptions for UL synch).</w:t>
            </w:r>
          </w:p>
          <w:p>
            <w:pPr>
              <w:overflowPunct w:val="0"/>
              <w:autoSpaceDE w:val="0"/>
              <w:autoSpaceDN w:val="0"/>
              <w:adjustRightInd w:val="0"/>
              <w:spacing w:before="156" w:beforeLines="50"/>
              <w:jc w:val="both"/>
              <w:rPr>
                <w:rFonts w:ascii="CG Times (WN)" w:hAnsi="CG Times (WN)" w:eastAsia="Batang"/>
                <w:highlight w:val="none"/>
                <w:lang w:val="en-US" w:eastAsia="zh-CN"/>
              </w:rPr>
            </w:pPr>
            <w:r>
              <w:rPr>
                <w:rFonts w:hint="eastAsia" w:ascii="CG Times (WN)" w:hAnsi="CG Times (WN)" w:eastAsia="Batang"/>
                <w:lang w:val="en-US" w:eastAsia="zh-CN"/>
              </w:rPr>
              <w:t xml:space="preserve">R2 assumes that CHO or delayed RRC config could be the baseline for group mobility </w:t>
            </w:r>
            <w:r>
              <w:rPr>
                <w:rFonts w:hint="eastAsia" w:ascii="CG Times (WN)" w:hAnsi="CG Times (WN)" w:eastAsia="Batang"/>
                <w:highlight w:val="none"/>
                <w:lang w:val="en-US" w:eastAsia="zh-CN"/>
              </w:rPr>
              <w:t>(</w:t>
            </w:r>
            <w:r>
              <w:rPr>
                <w:rFonts w:ascii="CG Times (WN)" w:hAnsi="CG Times (WN)" w:eastAsia="Batang"/>
                <w:highlight w:val="none"/>
                <w:lang w:val="en-US" w:eastAsia="zh-CN"/>
              </w:rPr>
              <w:t>FFS if could be applicable for mobility of IAB MT</w:t>
            </w:r>
            <w:r>
              <w:rPr>
                <w:rFonts w:hint="eastAsia" w:ascii="CG Times (WN)" w:hAnsi="CG Times (WN)" w:eastAsia="Batang"/>
                <w:highlight w:val="none"/>
                <w:lang w:val="en-US" w:eastAsia="zh-CN"/>
              </w:rPr>
              <w:t xml:space="preserve">), i.e. with a preparation in advance (not immediately) of the execution. </w:t>
            </w:r>
          </w:p>
          <w:p>
            <w:pPr>
              <w:overflowPunct w:val="0"/>
              <w:autoSpaceDE w:val="0"/>
              <w:autoSpaceDN w:val="0"/>
              <w:adjustRightInd w:val="0"/>
              <w:spacing w:before="156" w:beforeLines="50"/>
              <w:jc w:val="both"/>
              <w:rPr>
                <w:rFonts w:ascii="CG Times (WN)" w:hAnsi="CG Times (WN)" w:eastAsia="Batang"/>
                <w:highlight w:val="none"/>
                <w:lang w:val="en-US" w:eastAsia="zh-CN"/>
              </w:rPr>
            </w:pPr>
            <w:r>
              <w:rPr>
                <w:rFonts w:hint="eastAsia" w:ascii="CG Times (WN)" w:hAnsi="CG Times (WN)" w:eastAsia="Batang"/>
                <w:highlight w:val="none"/>
                <w:lang w:val="en-US" w:eastAsia="zh-CN"/>
              </w:rPr>
              <w:t>R2 assumes that Mobile IAB connecting to a stationary (intermediate) IAB node is/can be supported. R2 assumes this can be supported with no (or limited) impact.</w:t>
            </w:r>
          </w:p>
          <w:p>
            <w:pPr>
              <w:overflowPunct w:val="0"/>
              <w:autoSpaceDE w:val="0"/>
              <w:autoSpaceDN w:val="0"/>
              <w:adjustRightInd w:val="0"/>
              <w:spacing w:before="156" w:beforeLines="50"/>
              <w:jc w:val="both"/>
              <w:rPr>
                <w:rFonts w:ascii="CG Times (WN)" w:hAnsi="CG Times (WN)" w:eastAsia="Batang"/>
                <w:highlight w:val="none"/>
                <w:lang w:val="en-US" w:eastAsia="zh-CN"/>
              </w:rPr>
            </w:pPr>
            <w:r>
              <w:rPr>
                <w:rFonts w:hint="eastAsia" w:ascii="CG Times (WN)" w:hAnsi="CG Times (WN)" w:eastAsia="Batang"/>
                <w:highlight w:val="none"/>
                <w:lang w:val="en-US" w:eastAsia="zh-CN"/>
              </w:rPr>
              <w:t xml:space="preserve">P1: RAN2 to discuss scenarios, if and where </w:t>
            </w:r>
            <w:r>
              <w:rPr>
                <w:rFonts w:ascii="CG Times (WN)" w:hAnsi="CG Times (WN)" w:eastAsia="Batang"/>
                <w:highlight w:val="none"/>
                <w:lang w:val="en-US" w:eastAsia="zh-CN"/>
              </w:rPr>
              <w:t>enhancements to cell (re-)selection</w:t>
            </w:r>
            <w:r>
              <w:rPr>
                <w:rFonts w:hint="eastAsia" w:ascii="CG Times (WN)" w:hAnsi="CG Times (WN)" w:eastAsia="Batang"/>
                <w:highlight w:val="none"/>
                <w:lang w:val="en-US" w:eastAsia="zh-CN"/>
              </w:rPr>
              <w:t xml:space="preserve"> to/from the mobile IAB-node apply, e.g. based on mobile IAB-node broadcast parameter (this point doesn</w:t>
            </w:r>
            <w:r>
              <w:rPr>
                <w:rFonts w:ascii="CG Times (WN)" w:hAnsi="CG Times (WN)" w:eastAsia="Batang"/>
                <w:highlight w:val="none"/>
                <w:lang w:val="en-US" w:eastAsia="zh-CN"/>
              </w:rPr>
              <w:t>’</w:t>
            </w:r>
            <w:r>
              <w:rPr>
                <w:rFonts w:hint="eastAsia" w:ascii="CG Times (WN)" w:hAnsi="CG Times (WN)" w:eastAsia="Batang"/>
                <w:highlight w:val="none"/>
                <w:lang w:val="en-US" w:eastAsia="zh-CN"/>
              </w:rPr>
              <w:t>t preclude other potential usage of Bcast info).</w:t>
            </w:r>
          </w:p>
          <w:p>
            <w:pPr>
              <w:overflowPunct w:val="0"/>
              <w:autoSpaceDE w:val="0"/>
              <w:autoSpaceDN w:val="0"/>
              <w:adjustRightInd w:val="0"/>
              <w:spacing w:before="156" w:beforeLines="50"/>
              <w:jc w:val="both"/>
              <w:rPr>
                <w:rFonts w:ascii="CG Times (WN)" w:hAnsi="CG Times (WN)" w:eastAsia="Batang"/>
                <w:highlight w:val="none"/>
                <w:lang w:val="en-US" w:eastAsia="zh-CN"/>
              </w:rPr>
            </w:pPr>
            <w:r>
              <w:rPr>
                <w:rFonts w:hint="eastAsia" w:ascii="CG Times (WN)" w:hAnsi="CG Times (WN)" w:eastAsia="Batang"/>
                <w:highlight w:val="none"/>
                <w:lang w:val="en-US" w:eastAsia="zh-CN"/>
              </w:rPr>
              <w:t>P2: Can discuss whether The mobile IAB-MT need to send a mobile-IAB indication (capability or mobility) to the IAB-donor-CU,</w:t>
            </w:r>
          </w:p>
          <w:p>
            <w:pPr>
              <w:overflowPunct w:val="0"/>
              <w:autoSpaceDE w:val="0"/>
              <w:autoSpaceDN w:val="0"/>
              <w:adjustRightInd w:val="0"/>
              <w:spacing w:before="156" w:beforeLines="50"/>
              <w:jc w:val="both"/>
              <w:rPr>
                <w:rFonts w:ascii="CG Times (WN)" w:hAnsi="CG Times (WN)" w:eastAsia="Batang"/>
                <w:highlight w:val="none"/>
                <w:lang w:val="en-US" w:eastAsia="zh-CN"/>
              </w:rPr>
            </w:pPr>
            <w:r>
              <w:rPr>
                <w:rFonts w:hint="eastAsia" w:ascii="CG Times (WN)" w:hAnsi="CG Times (WN)" w:eastAsia="Batang"/>
                <w:highlight w:val="none"/>
                <w:lang w:val="en-US" w:eastAsia="zh-CN"/>
              </w:rPr>
              <w:t xml:space="preserve">P3: For </w:t>
            </w:r>
            <w:r>
              <w:rPr>
                <w:rFonts w:ascii="CG Times (WN)" w:hAnsi="CG Times (WN)" w:eastAsia="Batang"/>
                <w:highlight w:val="none"/>
                <w:lang w:val="en-US" w:eastAsia="zh-CN"/>
              </w:rPr>
              <w:t>“</w:t>
            </w:r>
            <w:r>
              <w:rPr>
                <w:rFonts w:hint="eastAsia" w:ascii="CG Times (WN)" w:hAnsi="CG Times (WN)" w:eastAsia="Batang"/>
                <w:highlight w:val="none"/>
                <w:lang w:val="en-US" w:eastAsia="zh-CN"/>
              </w:rPr>
              <w:t>dual-DU-way</w:t>
            </w:r>
            <w:r>
              <w:rPr>
                <w:rFonts w:ascii="CG Times (WN)" w:hAnsi="CG Times (WN)" w:eastAsia="Batang"/>
                <w:highlight w:val="none"/>
                <w:lang w:val="en-US" w:eastAsia="zh-CN"/>
              </w:rPr>
              <w:t>”</w:t>
            </w:r>
            <w:r>
              <w:rPr>
                <w:rFonts w:hint="eastAsia" w:ascii="CG Times (WN)" w:hAnsi="CG Times (WN)" w:eastAsia="Batang"/>
                <w:highlight w:val="none"/>
                <w:lang w:val="en-US" w:eastAsia="zh-CN"/>
              </w:rPr>
              <w:t xml:space="preserve"> of doing full migration, RAN2 may discuss whether the legacy UE should see the two logical cells/DUs as separate or same physical cell(s), and what procedure(s) the legacy UE needs to perform in either case. </w:t>
            </w:r>
          </w:p>
          <w:p>
            <w:pPr>
              <w:overflowPunct w:val="0"/>
              <w:autoSpaceDE w:val="0"/>
              <w:autoSpaceDN w:val="0"/>
              <w:adjustRightInd w:val="0"/>
              <w:spacing w:before="156" w:beforeLines="50"/>
              <w:jc w:val="both"/>
              <w:rPr>
                <w:rFonts w:ascii="CG Times (WN)" w:hAnsi="CG Times (WN)" w:eastAsia="Batang"/>
                <w:highlight w:val="none"/>
                <w:lang w:val="en-US" w:eastAsia="zh-CN"/>
              </w:rPr>
            </w:pPr>
            <w:r>
              <w:rPr>
                <w:rFonts w:hint="eastAsia" w:ascii="CG Times (WN)" w:hAnsi="CG Times (WN)" w:eastAsia="Batang"/>
                <w:highlight w:val="none"/>
                <w:lang w:val="en-US" w:eastAsia="zh-CN"/>
              </w:rPr>
              <w:t xml:space="preserve">P4: RAN2 may discuss whether there are issues with </w:t>
            </w:r>
            <w:r>
              <w:rPr>
                <w:rFonts w:ascii="CG Times (WN)" w:hAnsi="CG Times (WN)" w:eastAsia="Batang"/>
                <w:highlight w:val="none"/>
                <w:lang w:val="en-US" w:eastAsia="zh-CN"/>
              </w:rPr>
              <w:t>PCI partitioning</w:t>
            </w:r>
            <w:r>
              <w:rPr>
                <w:rFonts w:hint="eastAsia" w:ascii="CG Times (WN)" w:hAnsi="CG Times (WN)" w:eastAsia="Batang"/>
                <w:highlight w:val="none"/>
                <w:lang w:val="en-US" w:eastAsia="zh-CN"/>
              </w:rPr>
              <w:t xml:space="preserve"> that needs to/can be addressed (to be used in applicable scenario), if any found within R2 scope. May discuss need for and feasibility from R2 point of view of a dynamic PCI change mechanism. May also discuss whether enhancements to/vs current UE/MT reporting are useful/necessary to improve PCI collision detection. </w:t>
            </w:r>
          </w:p>
          <w:p>
            <w:pPr>
              <w:rPr>
                <w:rFonts w:hint="default"/>
                <w:vertAlign w:val="baseline"/>
                <w:lang w:val="en-US" w:eastAsia="zh-CN"/>
              </w:rPr>
            </w:pPr>
            <w:r>
              <w:rPr>
                <w:rFonts w:hint="eastAsia" w:ascii="CG Times (WN)" w:hAnsi="CG Times (WN)" w:eastAsia="Batang"/>
                <w:highlight w:val="none"/>
                <w:lang w:val="en-US" w:eastAsia="zh-CN"/>
              </w:rPr>
              <w:t xml:space="preserve">P5: RAN2 may discuss whether there is a problem of </w:t>
            </w:r>
            <w:r>
              <w:rPr>
                <w:rFonts w:ascii="CG Times (WN)" w:hAnsi="CG Times (WN)" w:eastAsia="Batang"/>
                <w:highlight w:val="none"/>
                <w:lang w:val="en-US" w:eastAsia="zh-CN"/>
              </w:rPr>
              <w:t>RACH configuration collision</w:t>
            </w:r>
            <w:r>
              <w:rPr>
                <w:rFonts w:hint="eastAsia" w:ascii="CG Times (WN)" w:hAnsi="CG Times (WN)" w:eastAsia="Batang"/>
                <w:highlight w:val="none"/>
                <w:lang w:val="en-US" w:eastAsia="zh-CN"/>
              </w:rPr>
              <w:t xml:space="preserve"> between mobile IAB and stationary network from RAN2 perspective and/or whether RAN2 should ask RAN1 to consider RAN1-related aspects. </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lang w:val="en-US" w:eastAsia="zh-CN"/>
        </w:rPr>
      </w:pPr>
      <w:r>
        <w:rPr>
          <w:rFonts w:hint="eastAsia"/>
          <w:lang w:val="en-US" w:eastAsia="zh-CN"/>
        </w:rPr>
        <w:t xml:space="preserve">In this paper, we will focus on the remaining issues for mobile IAB and present our point of view. </w:t>
      </w:r>
    </w:p>
    <w:p>
      <w:pPr>
        <w:pStyle w:val="2"/>
        <w:jc w:val="both"/>
        <w:rPr>
          <w:lang w:eastAsia="zh-CN"/>
        </w:rPr>
      </w:pPr>
      <w:r>
        <w:rPr>
          <w:rFonts w:hint="eastAsia" w:eastAsia="宋体"/>
          <w:lang w:eastAsia="zh-CN"/>
        </w:rPr>
        <w:t>Discussion</w:t>
      </w:r>
    </w:p>
    <w:p>
      <w:pPr>
        <w:pStyle w:val="4"/>
        <w:bidi w:val="0"/>
        <w:rPr>
          <w:rFonts w:hint="eastAsia"/>
          <w:lang w:val="en-US" w:eastAsia="zh-CN"/>
        </w:rPr>
      </w:pPr>
      <w:r>
        <w:rPr>
          <w:rFonts w:hint="eastAsia"/>
          <w:lang w:val="en-US" w:eastAsia="zh-CN"/>
        </w:rPr>
        <w:t>Cell (re-)selection</w:t>
      </w:r>
    </w:p>
    <w:p>
      <w:pPr>
        <w:jc w:val="both"/>
        <w:rPr>
          <w:rFonts w:hint="eastAsia" w:eastAsia="Malgun Gothic"/>
          <w:highlight w:val="none"/>
          <w:lang w:eastAsia="ko-KR"/>
        </w:rPr>
      </w:pPr>
      <w:r>
        <w:rPr>
          <w:rFonts w:hint="eastAsia"/>
          <w:lang w:val="en-US" w:eastAsia="zh-CN"/>
        </w:rPr>
        <w:t xml:space="preserve">According to the progress of RAN2#119, </w:t>
      </w:r>
      <w:r>
        <w:rPr>
          <w:rFonts w:hint="default" w:ascii="Times New Roman" w:hAnsi="Times New Roman" w:eastAsia="Batang" w:cs="Times New Roman"/>
          <w:highlight w:val="none"/>
          <w:lang w:val="en-US" w:eastAsia="zh-CN"/>
        </w:rPr>
        <w:t>RAN2 to discuss scenarios, if and where enhancements to cell (re-)selection to/from the mobile IAB-node apply, e.g. based on mobile IAB-node broadcast parameter (this point doesn’t preclude other potential usage of Bcast info).</w:t>
      </w:r>
      <w:r>
        <w:rPr>
          <w:rFonts w:hint="eastAsia" w:ascii="Times New Roman" w:hAnsi="Times New Roman" w:eastAsia="Batang" w:cs="Times New Roman"/>
          <w:highlight w:val="none"/>
          <w:lang w:val="en-US" w:eastAsia="zh-CN"/>
        </w:rPr>
        <w:t xml:space="preserve"> </w:t>
      </w:r>
      <w:r>
        <w:rPr>
          <w:rFonts w:hint="eastAsia"/>
          <w:highlight w:val="none"/>
          <w:lang w:val="en-US" w:eastAsia="zh-CN"/>
        </w:rPr>
        <w:t xml:space="preserve">The motivation for the cell (re-)selection enhancement is to provide means for UE to </w:t>
      </w:r>
      <w:r>
        <w:rPr>
          <w:rFonts w:hint="eastAsia"/>
          <w:lang w:val="en-US" w:eastAsia="zh-CN"/>
        </w:rPr>
        <w:t>re-select from/to a stationary gNB</w:t>
      </w:r>
      <w:r>
        <w:rPr>
          <w:rFonts w:hint="default"/>
          <w:lang w:val="en-US" w:eastAsia="zh-CN"/>
        </w:rPr>
        <w:t>’</w:t>
      </w:r>
      <w:r>
        <w:rPr>
          <w:rFonts w:hint="eastAsia"/>
          <w:lang w:val="en-US" w:eastAsia="zh-CN"/>
        </w:rPr>
        <w:t xml:space="preserve">s cell to/from mobile relay when it is getting on/off of the vehicle </w:t>
      </w:r>
      <w:r>
        <w:rPr>
          <w:rFonts w:hint="eastAsia"/>
          <w:highlight w:val="none"/>
          <w:lang w:val="en-US" w:eastAsia="zh-CN"/>
        </w:rPr>
        <w:t xml:space="preserve">and minimize </w:t>
      </w:r>
      <w:r>
        <w:rPr>
          <w:rFonts w:hint="eastAsia" w:eastAsia="Malgun Gothic"/>
          <w:highlight w:val="none"/>
          <w:lang w:eastAsia="ko-KR"/>
        </w:rPr>
        <w:t>unnecessary cell reselection (</w:t>
      </w:r>
      <w:r>
        <w:rPr>
          <w:rFonts w:eastAsia="Malgun Gothic"/>
          <w:highlight w:val="none"/>
          <w:lang w:eastAsia="ko-KR"/>
        </w:rPr>
        <w:t>between</w:t>
      </w:r>
      <w:r>
        <w:rPr>
          <w:rFonts w:hint="eastAsia" w:eastAsia="Malgun Gothic"/>
          <w:highlight w:val="none"/>
          <w:lang w:eastAsia="ko-KR"/>
        </w:rPr>
        <w:t xml:space="preserve"> </w:t>
      </w:r>
      <w:r>
        <w:rPr>
          <w:highlight w:val="none"/>
        </w:rPr>
        <w:t xml:space="preserve">mobile relays </w:t>
      </w:r>
      <w:r>
        <w:rPr>
          <w:rFonts w:hint="eastAsia" w:eastAsia="Malgun Gothic"/>
          <w:highlight w:val="none"/>
          <w:lang w:eastAsia="ko-KR"/>
        </w:rPr>
        <w:t xml:space="preserve">or </w:t>
      </w:r>
      <w:r>
        <w:rPr>
          <w:rFonts w:eastAsia="Malgun Gothic"/>
          <w:highlight w:val="none"/>
          <w:lang w:eastAsia="ko-KR"/>
        </w:rPr>
        <w:t>between</w:t>
      </w:r>
      <w:r>
        <w:rPr>
          <w:rFonts w:hint="eastAsia" w:eastAsia="Malgun Gothic"/>
          <w:highlight w:val="none"/>
          <w:lang w:eastAsia="ko-KR"/>
        </w:rPr>
        <w:t xml:space="preserve"> </w:t>
      </w:r>
      <w:r>
        <w:rPr>
          <w:highlight w:val="none"/>
        </w:rPr>
        <w:t xml:space="preserve">mobile relays </w:t>
      </w:r>
      <w:r>
        <w:rPr>
          <w:rFonts w:eastAsia="Malgun Gothic"/>
          <w:highlight w:val="none"/>
          <w:lang w:eastAsia="ko-KR"/>
        </w:rPr>
        <w:t xml:space="preserve">and </w:t>
      </w:r>
      <w:r>
        <w:rPr>
          <w:rFonts w:hint="eastAsia" w:eastAsia="Malgun Gothic"/>
          <w:highlight w:val="none"/>
          <w:lang w:eastAsia="ko-KR"/>
        </w:rPr>
        <w:t xml:space="preserve">fixed gNB,) in the presence of </w:t>
      </w:r>
      <w:r>
        <w:rPr>
          <w:highlight w:val="none"/>
        </w:rPr>
        <w:t>mobile relays</w:t>
      </w:r>
      <w:r>
        <w:rPr>
          <w:rFonts w:hint="eastAsia" w:eastAsia="Malgun Gothic"/>
          <w:highlight w:val="none"/>
          <w:lang w:eastAsia="ko-KR"/>
        </w:rPr>
        <w:t xml:space="preserve">. </w:t>
      </w:r>
    </w:p>
    <w:p>
      <w:pPr>
        <w:jc w:val="both"/>
        <w:rPr>
          <w:rFonts w:hint="eastAsia" w:cs="Times New Roman"/>
          <w:sz w:val="20"/>
          <w:lang w:val="en-US" w:eastAsia="zh-CN"/>
        </w:rPr>
      </w:pPr>
      <w:r>
        <w:rPr>
          <w:rFonts w:hint="eastAsia" w:eastAsia="宋体"/>
          <w:highlight w:val="none"/>
          <w:lang w:val="en-US" w:eastAsia="zh-CN"/>
        </w:rPr>
        <w:t xml:space="preserve">Generally speaking, the  UE </w:t>
      </w:r>
      <w:r>
        <w:rPr>
          <w:rFonts w:hint="eastAsia"/>
          <w:highlight w:val="none"/>
          <w:lang w:val="en-US" w:eastAsia="zh-CN"/>
        </w:rPr>
        <w:t xml:space="preserve">may prioritize to select the mobile IAB cells if it moves together with the mobile IAB node. </w:t>
      </w:r>
      <w:r>
        <w:rPr>
          <w:rFonts w:hint="eastAsia" w:cs="Times New Roman"/>
          <w:sz w:val="20"/>
          <w:lang w:val="en-US" w:eastAsia="zh-CN"/>
        </w:rPr>
        <w:t>This may be achieved based on the relative</w:t>
      </w:r>
      <w:r>
        <w:rPr>
          <w:rFonts w:hint="eastAsia" w:ascii="Times New Roman" w:hAnsi="Times New Roman" w:cs="Times New Roman"/>
          <w:sz w:val="20"/>
          <w:lang w:val="en-US" w:eastAsia="zh-CN"/>
        </w:rPr>
        <w:t xml:space="preserve"> mobility </w:t>
      </w:r>
      <w:r>
        <w:rPr>
          <w:rFonts w:hint="eastAsia" w:cs="Times New Roman"/>
          <w:sz w:val="20"/>
          <w:lang w:val="en-US" w:eastAsia="zh-CN"/>
        </w:rPr>
        <w:t xml:space="preserve">detection </w:t>
      </w:r>
      <w:r>
        <w:rPr>
          <w:rFonts w:hint="eastAsia" w:ascii="Times New Roman" w:hAnsi="Times New Roman" w:cs="Times New Roman"/>
          <w:sz w:val="20"/>
          <w:lang w:val="en-US" w:eastAsia="zh-CN"/>
        </w:rPr>
        <w:t>between mobile IAB node and UE. According to TS 38.304, the mechanism</w:t>
      </w:r>
      <w:r>
        <w:rPr>
          <w:rFonts w:hint="eastAsia" w:cs="Times New Roman"/>
          <w:sz w:val="20"/>
          <w:lang w:val="en-US" w:eastAsia="zh-CN"/>
        </w:rPr>
        <w:t>s</w:t>
      </w:r>
      <w:r>
        <w:rPr>
          <w:rFonts w:hint="eastAsia" w:ascii="Times New Roman" w:hAnsi="Times New Roman" w:cs="Times New Roman"/>
          <w:sz w:val="20"/>
          <w:lang w:val="en-US" w:eastAsia="zh-CN"/>
        </w:rPr>
        <w:t xml:space="preserve"> for the stationary evaluation and low mobility evalu</w:t>
      </w:r>
      <w:r>
        <w:rPr>
          <w:rFonts w:hint="eastAsia" w:cs="Times New Roman"/>
          <w:sz w:val="20"/>
          <w:lang w:val="en-US" w:eastAsia="zh-CN"/>
        </w:rPr>
        <w:t>a</w:t>
      </w:r>
      <w:r>
        <w:rPr>
          <w:rFonts w:hint="eastAsia" w:ascii="Times New Roman" w:hAnsi="Times New Roman" w:cs="Times New Roman"/>
          <w:sz w:val="20"/>
          <w:lang w:val="en-US" w:eastAsia="zh-CN"/>
        </w:rPr>
        <w:t>tion</w:t>
      </w:r>
      <w:r>
        <w:rPr>
          <w:rFonts w:hint="eastAsia" w:cs="Times New Roman"/>
          <w:sz w:val="20"/>
          <w:lang w:val="en-US" w:eastAsia="zh-CN"/>
        </w:rPr>
        <w:t xml:space="preserve"> between UE and serving cell</w:t>
      </w:r>
      <w:r>
        <w:rPr>
          <w:rFonts w:hint="eastAsia" w:ascii="Times New Roman" w:hAnsi="Times New Roman" w:cs="Times New Roman"/>
          <w:sz w:val="20"/>
          <w:lang w:val="en-US" w:eastAsia="zh-CN"/>
        </w:rPr>
        <w:t xml:space="preserve"> ha</w:t>
      </w:r>
      <w:r>
        <w:rPr>
          <w:rFonts w:hint="eastAsia" w:cs="Times New Roman"/>
          <w:sz w:val="20"/>
          <w:lang w:val="en-US" w:eastAsia="zh-CN"/>
        </w:rPr>
        <w:t>ve</w:t>
      </w:r>
      <w:r>
        <w:rPr>
          <w:rFonts w:hint="eastAsia" w:ascii="Times New Roman" w:hAnsi="Times New Roman" w:cs="Times New Roman"/>
          <w:sz w:val="20"/>
          <w:lang w:val="en-US" w:eastAsia="zh-CN"/>
        </w:rPr>
        <w:t xml:space="preserve"> been specified. The fundamental idea is for UE to</w:t>
      </w:r>
      <w:r>
        <w:rPr>
          <w:rFonts w:hint="eastAsia" w:cs="Times New Roman"/>
          <w:sz w:val="20"/>
          <w:lang w:val="en-US" w:eastAsia="zh-CN"/>
        </w:rPr>
        <w:t xml:space="preserve"> check</w:t>
      </w:r>
      <w:r>
        <w:rPr>
          <w:rFonts w:hint="eastAsia" w:ascii="Times New Roman" w:hAnsi="Times New Roman" w:cs="Times New Roman"/>
          <w:sz w:val="20"/>
          <w:lang w:val="en-US" w:eastAsia="zh-CN"/>
        </w:rPr>
        <w:t xml:space="preserve"> </w:t>
      </w:r>
      <w:r>
        <w:rPr>
          <w:rFonts w:hint="eastAsia"/>
          <w:lang w:val="en-US" w:eastAsia="zh-CN"/>
        </w:rPr>
        <w:t>if the variation between current RSRP measurement result and the maximum RSRP for the time period for which the variation is evaluated is lower than a given  threshold</w:t>
      </w:r>
      <w:r>
        <w:rPr>
          <w:rFonts w:hint="eastAsia" w:ascii="Times New Roman" w:hAnsi="Times New Roman" w:cs="Times New Roman"/>
          <w:sz w:val="20"/>
          <w:lang w:val="en-US" w:eastAsia="zh-CN"/>
        </w:rPr>
        <w:t xml:space="preserve">. If </w:t>
      </w:r>
      <w:r>
        <w:rPr>
          <w:rFonts w:hint="eastAsia" w:cs="Times New Roman"/>
          <w:sz w:val="20"/>
          <w:lang w:val="en-US" w:eastAsia="zh-CN"/>
        </w:rPr>
        <w:t>the variation</w:t>
      </w:r>
      <w:r>
        <w:rPr>
          <w:rFonts w:hint="eastAsia" w:ascii="Times New Roman" w:hAnsi="Times New Roman" w:cs="Times New Roman"/>
          <w:sz w:val="20"/>
          <w:lang w:val="en-US" w:eastAsia="zh-CN"/>
        </w:rPr>
        <w:t xml:space="preserve"> is lower than a given threshold for stationary</w:t>
      </w:r>
      <w:r>
        <w:rPr>
          <w:rFonts w:hint="eastAsia" w:cs="Times New Roman"/>
          <w:sz w:val="20"/>
          <w:lang w:val="en-US" w:eastAsia="zh-CN"/>
        </w:rPr>
        <w:t>/</w:t>
      </w:r>
      <w:r>
        <w:rPr>
          <w:rFonts w:hint="eastAsia" w:ascii="Times New Roman" w:hAnsi="Times New Roman" w:cs="Times New Roman"/>
          <w:sz w:val="20"/>
          <w:lang w:val="en-US" w:eastAsia="zh-CN"/>
        </w:rPr>
        <w:t xml:space="preserve">low mobility, the UE regards it </w:t>
      </w:r>
      <w:r>
        <w:rPr>
          <w:rFonts w:hint="eastAsia" w:cs="Times New Roman"/>
          <w:sz w:val="20"/>
          <w:lang w:val="en-US" w:eastAsia="zh-CN"/>
        </w:rPr>
        <w:t>fulfills</w:t>
      </w:r>
      <w:r>
        <w:rPr>
          <w:rFonts w:hint="eastAsia" w:ascii="Times New Roman" w:hAnsi="Times New Roman" w:cs="Times New Roman"/>
          <w:sz w:val="20"/>
          <w:lang w:val="en-US" w:eastAsia="zh-CN"/>
        </w:rPr>
        <w:t xml:space="preserve"> the stationary/low mobility criteria for relaxed measurement. </w:t>
      </w:r>
      <w:r>
        <w:rPr>
          <w:rFonts w:hint="eastAsia" w:cs="Times New Roman"/>
          <w:sz w:val="20"/>
          <w:lang w:val="en-US" w:eastAsia="zh-CN"/>
        </w:rPr>
        <w:t xml:space="preserve">In our opinion, this mechanism can be leveraged by the UE to detect the relative mobility of cells and then prioritize to select the cell with low or stationary relative mobility.  </w:t>
      </w:r>
    </w:p>
    <w:p>
      <w:pPr>
        <w:jc w:val="both"/>
        <w:rPr>
          <w:rFonts w:hint="eastAsia" w:cs="Times New Roman"/>
          <w:b/>
          <w:bCs/>
          <w:sz w:val="20"/>
          <w:lang w:val="en-US" w:eastAsia="zh-CN"/>
        </w:rPr>
      </w:pPr>
      <w:r>
        <w:rPr>
          <w:rFonts w:hint="eastAsia" w:cs="Times New Roman"/>
          <w:b/>
          <w:bCs/>
          <w:sz w:val="20"/>
          <w:lang w:val="en-US" w:eastAsia="zh-CN"/>
        </w:rPr>
        <w:t>Proposal 1</w:t>
      </w:r>
      <w:r>
        <w:rPr>
          <w:rFonts w:hint="eastAsia" w:ascii="Times New Roman" w:hAnsi="Times New Roman" w:cs="Times New Roman"/>
          <w:b/>
          <w:bCs/>
          <w:sz w:val="20"/>
          <w:lang w:val="en-US" w:eastAsia="zh-CN"/>
        </w:rPr>
        <w:t xml:space="preserve">: </w:t>
      </w:r>
      <w:r>
        <w:rPr>
          <w:rFonts w:hint="eastAsia" w:cs="Times New Roman"/>
          <w:b/>
          <w:bCs/>
          <w:sz w:val="20"/>
          <w:lang w:val="en-US" w:eastAsia="zh-CN"/>
        </w:rPr>
        <w:t xml:space="preserve">UE may prioritize to select the cell with which UE has similar mobility state via </w:t>
      </w:r>
      <w:r>
        <w:rPr>
          <w:rFonts w:hint="eastAsia" w:ascii="Times New Roman" w:hAnsi="Times New Roman" w:cs="Times New Roman"/>
          <w:b/>
          <w:bCs/>
          <w:sz w:val="20"/>
          <w:lang w:val="en-US" w:eastAsia="zh-CN"/>
        </w:rPr>
        <w:t xml:space="preserve">stationary or low relative mobility </w:t>
      </w:r>
      <w:r>
        <w:rPr>
          <w:rFonts w:hint="eastAsia" w:cs="Times New Roman"/>
          <w:b/>
          <w:bCs/>
          <w:sz w:val="20"/>
          <w:lang w:val="en-US" w:eastAsia="zh-CN"/>
        </w:rPr>
        <w:t>evaluation.</w:t>
      </w:r>
    </w:p>
    <w:p>
      <w:pPr>
        <w:jc w:val="both"/>
        <w:rPr>
          <w:rFonts w:hint="eastAsia"/>
          <w:highlight w:val="none"/>
          <w:lang w:val="en-US" w:eastAsia="zh-CN"/>
        </w:rPr>
      </w:pPr>
      <w:r>
        <w:rPr>
          <w:rFonts w:hint="eastAsia" w:ascii="Times New Roman" w:hAnsi="Times New Roman" w:cs="Times New Roman"/>
          <w:sz w:val="20"/>
          <w:lang w:val="en-US" w:eastAsia="zh-CN"/>
        </w:rPr>
        <w:t>However, UEs on other veh</w:t>
      </w:r>
      <w:r>
        <w:rPr>
          <w:rFonts w:hint="eastAsia" w:cs="Times New Roman"/>
          <w:sz w:val="20"/>
          <w:lang w:val="en-US" w:eastAsia="zh-CN"/>
        </w:rPr>
        <w:t>i</w:t>
      </w:r>
      <w:r>
        <w:rPr>
          <w:rFonts w:hint="eastAsia" w:ascii="Times New Roman" w:hAnsi="Times New Roman" w:cs="Times New Roman"/>
          <w:sz w:val="20"/>
          <w:lang w:val="en-US" w:eastAsia="zh-CN"/>
        </w:rPr>
        <w:t xml:space="preserve">cles </w:t>
      </w:r>
      <w:r>
        <w:rPr>
          <w:rFonts w:hint="eastAsia" w:cs="Times New Roman"/>
          <w:sz w:val="20"/>
          <w:lang w:val="en-US" w:eastAsia="zh-CN"/>
        </w:rPr>
        <w:t xml:space="preserve">may </w:t>
      </w:r>
      <w:r>
        <w:rPr>
          <w:rFonts w:hint="eastAsia" w:ascii="Times New Roman" w:hAnsi="Times New Roman" w:cs="Times New Roman"/>
          <w:sz w:val="20"/>
          <w:lang w:val="en-US" w:eastAsia="zh-CN"/>
        </w:rPr>
        <w:t xml:space="preserve">have similar speed with the mobile IAB node. </w:t>
      </w:r>
      <w:r>
        <w:rPr>
          <w:rFonts w:hint="eastAsia" w:cs="Times New Roman"/>
          <w:sz w:val="20"/>
          <w:lang w:val="en-US" w:eastAsia="zh-CN"/>
        </w:rPr>
        <w:t>T</w:t>
      </w:r>
      <w:r>
        <w:rPr>
          <w:rFonts w:hint="eastAsia" w:ascii="Times New Roman" w:hAnsi="Times New Roman" w:cs="Times New Roman"/>
          <w:sz w:val="20"/>
          <w:lang w:val="en-US" w:eastAsia="zh-CN"/>
        </w:rPr>
        <w:t>hese UEs are actually surrounding UEs instead of on-board UE</w:t>
      </w:r>
      <w:r>
        <w:rPr>
          <w:rFonts w:hint="eastAsia" w:cs="Times New Roman"/>
          <w:sz w:val="20"/>
          <w:lang w:val="en-US" w:eastAsia="zh-CN"/>
        </w:rPr>
        <w:t xml:space="preserve"> for this vehicle</w:t>
      </w:r>
      <w:r>
        <w:rPr>
          <w:rFonts w:hint="eastAsia" w:ascii="Times New Roman" w:hAnsi="Times New Roman" w:cs="Times New Roman"/>
          <w:sz w:val="20"/>
          <w:lang w:val="en-US" w:eastAsia="zh-CN"/>
        </w:rPr>
        <w:t xml:space="preserve">. </w:t>
      </w:r>
      <w:r>
        <w:rPr>
          <w:rFonts w:hint="eastAsia" w:cs="Times New Roman"/>
          <w:sz w:val="20"/>
          <w:lang w:val="en-US" w:eastAsia="zh-CN"/>
        </w:rPr>
        <w:t xml:space="preserve">After a while, </w:t>
      </w:r>
      <w:r>
        <w:rPr>
          <w:rFonts w:hint="eastAsia" w:ascii="Times New Roman" w:hAnsi="Times New Roman" w:cs="Times New Roman"/>
          <w:sz w:val="20"/>
          <w:lang w:val="en-US" w:eastAsia="zh-CN"/>
        </w:rPr>
        <w:t>these surrounding UEs may be far away from the mobile IAB node</w:t>
      </w:r>
      <w:r>
        <w:rPr>
          <w:rFonts w:hint="eastAsia" w:cs="Times New Roman"/>
          <w:sz w:val="20"/>
          <w:lang w:val="en-US" w:eastAsia="zh-CN"/>
        </w:rPr>
        <w:t xml:space="preserve"> s</w:t>
      </w:r>
      <w:r>
        <w:rPr>
          <w:rFonts w:hint="eastAsia" w:ascii="Times New Roman" w:hAnsi="Times New Roman" w:cs="Times New Roman"/>
          <w:sz w:val="20"/>
          <w:lang w:val="en-US" w:eastAsia="zh-CN"/>
        </w:rPr>
        <w:t xml:space="preserve">ince the trajectory of these vehicles are not </w:t>
      </w:r>
      <w:r>
        <w:rPr>
          <w:rFonts w:hint="eastAsia" w:cs="Times New Roman"/>
          <w:sz w:val="20"/>
          <w:lang w:val="en-US" w:eastAsia="zh-CN"/>
        </w:rPr>
        <w:t xml:space="preserve">exactly </w:t>
      </w:r>
      <w:r>
        <w:rPr>
          <w:rFonts w:hint="eastAsia" w:ascii="Times New Roman" w:hAnsi="Times New Roman" w:cs="Times New Roman"/>
          <w:sz w:val="20"/>
          <w:lang w:val="en-US" w:eastAsia="zh-CN"/>
        </w:rPr>
        <w:t>the same.</w:t>
      </w:r>
      <w:r>
        <w:rPr>
          <w:rFonts w:hint="eastAsia" w:cs="Times New Roman"/>
          <w:sz w:val="20"/>
          <w:lang w:val="en-US" w:eastAsia="zh-CN"/>
        </w:rPr>
        <w:t xml:space="preserve"> If the mobile IAB node mounted on vehicle only allows the access of a certain group of on-board UE, the </w:t>
      </w:r>
      <w:r>
        <w:rPr>
          <w:rFonts w:hint="eastAsia" w:ascii="Times New Roman" w:hAnsi="Times New Roman" w:cs="Times New Roman"/>
          <w:sz w:val="20"/>
          <w:lang w:val="en-US" w:eastAsia="zh-CN"/>
        </w:rPr>
        <w:t>access control for UE</w:t>
      </w:r>
      <w:r>
        <w:rPr>
          <w:rFonts w:hint="eastAsia" w:cs="Times New Roman"/>
          <w:sz w:val="20"/>
          <w:lang w:val="en-US" w:eastAsia="zh-CN"/>
        </w:rPr>
        <w:t xml:space="preserve">s </w:t>
      </w:r>
      <w:r>
        <w:rPr>
          <w:rFonts w:hint="eastAsia"/>
          <w:lang w:val="en-US" w:eastAsia="zh-CN"/>
        </w:rPr>
        <w:t>which is authorized or subscribed to the mobile IAB node may be considered. To support this restricted access of certain group of UEs, the design of PNI-NPN and CAG(Close Access Group) may be leveraged. For example, UEs which are entitled to access a mobile IAB node mounted on a vehicle can be configured with allowed CAG ID list. The allowed CAG IDs can be broadcast by</w:t>
      </w:r>
      <w:r>
        <w:rPr>
          <w:lang w:val="en-US" w:eastAsia="zh-CN"/>
        </w:rPr>
        <w:t xml:space="preserve"> the cell of </w:t>
      </w:r>
      <w:r>
        <w:rPr>
          <w:rFonts w:hint="eastAsia"/>
          <w:lang w:val="en-US" w:eastAsia="zh-CN"/>
        </w:rPr>
        <w:t>mobile</w:t>
      </w:r>
      <w:r>
        <w:rPr>
          <w:lang w:val="en-US" w:eastAsia="zh-CN"/>
        </w:rPr>
        <w:t xml:space="preserve"> IAB-DU. </w:t>
      </w:r>
      <w:r>
        <w:rPr>
          <w:rFonts w:ascii="Times New Roman" w:eastAsia="STIXTwoText" w:cs="Times New Roman"/>
          <w:sz w:val="21"/>
          <w:szCs w:val="21"/>
          <w:lang w:val="en-US" w:eastAsia="zh-CN"/>
        </w:rPr>
        <w:t xml:space="preserve">Based on this, UEs </w:t>
      </w:r>
      <w:r>
        <w:rPr>
          <w:rFonts w:hint="eastAsia" w:eastAsia="STIXTwoText" w:cs="Times New Roman"/>
          <w:sz w:val="21"/>
          <w:szCs w:val="21"/>
          <w:lang w:val="en-US" w:eastAsia="zh-CN"/>
        </w:rPr>
        <w:t>may</w:t>
      </w:r>
      <w:r>
        <w:rPr>
          <w:rFonts w:ascii="Times New Roman" w:eastAsia="STIXTwoText" w:cs="Times New Roman"/>
          <w:sz w:val="21"/>
          <w:szCs w:val="21"/>
          <w:lang w:val="en-US" w:eastAsia="zh-CN"/>
        </w:rPr>
        <w:t xml:space="preserve"> select </w:t>
      </w:r>
      <w:r>
        <w:rPr>
          <w:rFonts w:eastAsia="STIXTwoText"/>
          <w:sz w:val="21"/>
          <w:szCs w:val="21"/>
          <w:lang w:val="en-US" w:eastAsia="zh-CN"/>
        </w:rPr>
        <w:t>mobile IAB</w:t>
      </w:r>
      <w:r>
        <w:rPr>
          <w:rFonts w:ascii="Times New Roman" w:eastAsia="STIXTwoText" w:cs="Times New Roman"/>
          <w:sz w:val="21"/>
          <w:szCs w:val="21"/>
          <w:lang w:val="en-US" w:eastAsia="zh-CN"/>
        </w:rPr>
        <w:t xml:space="preserve"> cells</w:t>
      </w:r>
      <w:r>
        <w:rPr>
          <w:rFonts w:eastAsia="STIXTwoText"/>
          <w:sz w:val="21"/>
          <w:szCs w:val="21"/>
          <w:lang w:val="en-US" w:eastAsia="zh-CN"/>
        </w:rPr>
        <w:t xml:space="preserve"> </w:t>
      </w:r>
      <w:r>
        <w:rPr>
          <w:rFonts w:ascii="Times New Roman" w:eastAsia="STIXTwoText" w:cs="Times New Roman"/>
          <w:sz w:val="21"/>
          <w:szCs w:val="21"/>
          <w:lang w:val="en-US" w:eastAsia="zh-CN"/>
        </w:rPr>
        <w:t>that broadcast a CAG ID contained in the UE</w:t>
      </w:r>
      <w:r>
        <w:rPr>
          <w:rFonts w:eastAsia="STIXTwoText"/>
          <w:sz w:val="21"/>
          <w:szCs w:val="21"/>
          <w:lang w:val="en-US" w:eastAsia="zh-CN"/>
        </w:rPr>
        <w:t>’</w:t>
      </w:r>
      <w:r>
        <w:rPr>
          <w:rFonts w:ascii="Times New Roman" w:eastAsia="STIXTwoText" w:cs="Times New Roman"/>
          <w:sz w:val="21"/>
          <w:szCs w:val="21"/>
          <w:lang w:val="en-US" w:eastAsia="zh-CN"/>
        </w:rPr>
        <w:t>s allowed CAG list</w:t>
      </w:r>
      <w:r>
        <w:rPr>
          <w:rFonts w:eastAsia="STIXTwoText"/>
          <w:sz w:val="21"/>
          <w:szCs w:val="21"/>
          <w:lang w:val="en-US" w:eastAsia="zh-CN"/>
        </w:rPr>
        <w:t xml:space="preserve">. </w:t>
      </w:r>
      <w:r>
        <w:rPr>
          <w:rFonts w:hint="eastAsia"/>
          <w:highlight w:val="none"/>
          <w:lang w:val="en-US" w:eastAsia="zh-CN"/>
        </w:rPr>
        <w:t xml:space="preserve"> </w:t>
      </w:r>
    </w:p>
    <w:p>
      <w:pPr>
        <w:jc w:val="both"/>
        <w:rPr>
          <w:rFonts w:hint="eastAsia"/>
          <w:b/>
          <w:bCs/>
          <w:lang w:val="en-US" w:eastAsia="zh-CN"/>
        </w:rPr>
      </w:pPr>
      <w:r>
        <w:rPr>
          <w:rFonts w:hint="eastAsia"/>
          <w:b/>
          <w:bCs/>
          <w:highlight w:val="none"/>
          <w:lang w:val="en-US" w:eastAsia="zh-CN"/>
        </w:rPr>
        <w:t xml:space="preserve">Proposal 2: If the mobile IAB node only allows the </w:t>
      </w:r>
      <w:r>
        <w:rPr>
          <w:rFonts w:hint="eastAsia"/>
          <w:b/>
          <w:bCs/>
          <w:lang w:val="en-US" w:eastAsia="zh-CN"/>
        </w:rPr>
        <w:t>restricted access of certain group of on-board UEs, the design of PNI-NPN and CAG (Close Access Group) may be leveraged.</w:t>
      </w:r>
    </w:p>
    <w:p>
      <w:pPr>
        <w:numPr>
          <w:ilvl w:val="0"/>
          <w:numId w:val="0"/>
        </w:numPr>
        <w:ind w:leftChars="0"/>
        <w:jc w:val="both"/>
        <w:rPr>
          <w:rFonts w:hint="eastAsia"/>
          <w:lang w:val="en-US" w:eastAsia="zh-CN"/>
        </w:rPr>
      </w:pPr>
      <w:r>
        <w:rPr>
          <w:rFonts w:hint="eastAsia"/>
          <w:lang w:val="en-US" w:eastAsia="zh-CN"/>
        </w:rPr>
        <w:t>For the UE which has already camped on mobile IAB cells, in order to avoid unnecessary inter-frequency measurement with high priority, it is suggested that UE</w:t>
      </w:r>
      <w:r>
        <w:rPr>
          <w:rFonts w:hint="eastAsia"/>
          <w:highlight w:val="none"/>
          <w:lang w:val="en-US" w:eastAsia="zh-CN"/>
        </w:rPr>
        <w:t xml:space="preserve"> regard the frequency which provide mobile IAB cell to be the highest priority. For the intra-frequency measurement, it is performed only if the serving cell can not fulfil the given threshold based on legacy mechanism. In addition, the relaxed RRM measurement for inter/</w:t>
      </w:r>
      <w:r>
        <w:rPr>
          <w:rFonts w:hint="eastAsia"/>
          <w:lang w:val="en-US" w:eastAsia="zh-CN"/>
        </w:rPr>
        <w:t xml:space="preserve">intra-frequency cells may be enabled for UEs camped on the mobile IAB cells. </w:t>
      </w:r>
    </w:p>
    <w:p>
      <w:pPr>
        <w:numPr>
          <w:ilvl w:val="0"/>
          <w:numId w:val="0"/>
        </w:numPr>
        <w:ind w:leftChars="0"/>
        <w:jc w:val="both"/>
        <w:rPr>
          <w:rFonts w:hint="eastAsia"/>
          <w:b/>
          <w:bCs/>
          <w:lang w:val="en-US" w:eastAsia="zh-CN"/>
        </w:rPr>
      </w:pPr>
      <w:r>
        <w:rPr>
          <w:rFonts w:hint="eastAsia"/>
          <w:b/>
          <w:bCs/>
          <w:lang w:val="en-US" w:eastAsia="zh-CN"/>
        </w:rPr>
        <w:t>Proposal 3: To avoid unnecessary inter-frequency measurement with high priority, UE camped on mobile IAB cell</w:t>
      </w:r>
      <w:r>
        <w:rPr>
          <w:rFonts w:hint="eastAsia"/>
          <w:b/>
          <w:bCs/>
          <w:highlight w:val="none"/>
          <w:lang w:val="en-US" w:eastAsia="zh-CN"/>
        </w:rPr>
        <w:t xml:space="preserve"> may regard the frequency which provide mobile IAB cell to be the highest priority. In addition, the relaxed RRM measurement</w:t>
      </w:r>
      <w:r>
        <w:rPr>
          <w:rFonts w:hint="eastAsia"/>
          <w:b/>
          <w:bCs/>
          <w:lang w:val="en-US" w:eastAsia="zh-CN"/>
        </w:rPr>
        <w:t xml:space="preserve"> may be enabled for UEs camped on the mobile IAB cells.</w:t>
      </w:r>
    </w:p>
    <w:p>
      <w:pPr>
        <w:jc w:val="both"/>
        <w:rPr>
          <w:rFonts w:hint="eastAsia"/>
          <w:lang w:val="en-US" w:eastAsia="zh-CN"/>
        </w:rPr>
      </w:pPr>
      <w:r>
        <w:rPr>
          <w:rFonts w:hint="eastAsia"/>
          <w:b w:val="0"/>
          <w:bCs w:val="0"/>
          <w:lang w:val="en-US" w:eastAsia="zh-CN"/>
        </w:rPr>
        <w:t xml:space="preserve">With the </w:t>
      </w:r>
      <w:r>
        <w:rPr>
          <w:rFonts w:hint="eastAsia"/>
          <w:lang w:val="en-US" w:eastAsia="zh-CN"/>
        </w:rPr>
        <w:t>movement of mobile IAB, the PCI/frequency of mobile IAB cells may change. From the perspective of RRC_IDLE/INACTIVE UE, it can no longer detect the serving cell and then will initiate the intra/inter-frequency measurement. Based on this observation,</w:t>
      </w:r>
      <w:r>
        <w:rPr>
          <w:rFonts w:hint="eastAsia"/>
          <w:highlight w:val="none"/>
          <w:lang w:val="en-US" w:eastAsia="zh-CN"/>
        </w:rPr>
        <w:t xml:space="preserve"> it would be better to notify the camped UE with the PCI/frequency change in advance and then the camped RRC_IDLE/INACTIVE UE try to re-select the cell with new PCI/frequency.</w:t>
      </w:r>
      <w:r>
        <w:rPr>
          <w:rFonts w:hint="eastAsia"/>
          <w:lang w:val="en-US" w:eastAsia="zh-CN"/>
        </w:rPr>
        <w:t xml:space="preserve"> On the other hand, if the UE is not notified of the new PCI and it continue to camped on the cell with old PCI. Actually, the old PCI may be used by the neighboring stationary cells, which may cause confusion for the RRC_IDLE/INACTIVE UE. </w:t>
      </w:r>
    </w:p>
    <w:p>
      <w:pPr>
        <w:jc w:val="both"/>
        <w:rPr>
          <w:lang w:eastAsia="zh-CN"/>
        </w:rPr>
      </w:pPr>
      <w:r>
        <w:rPr>
          <w:rFonts w:hint="eastAsia"/>
          <w:b/>
          <w:bCs/>
          <w:lang w:val="en-US" w:eastAsia="zh-CN"/>
        </w:rPr>
        <w:t xml:space="preserve">Proposal 4: Suppose the PCI/frequency of mobile IAB cell change due to collision avoidance,  </w:t>
      </w:r>
      <w:r>
        <w:rPr>
          <w:rFonts w:hint="eastAsia"/>
          <w:b/>
          <w:bCs/>
          <w:highlight w:val="none"/>
          <w:lang w:val="en-US" w:eastAsia="zh-CN"/>
        </w:rPr>
        <w:t>it is suggested to notify the camped UE with the potential change in advance and then the camped RRC_IDLE/INACTIVE UE re-select the cell with new PCI/frequency.</w:t>
      </w:r>
    </w:p>
    <w:p>
      <w:pPr>
        <w:pStyle w:val="4"/>
        <w:bidi w:val="0"/>
        <w:rPr>
          <w:rFonts w:hint="eastAsia"/>
          <w:lang w:val="en-US" w:eastAsia="zh-CN"/>
        </w:rPr>
      </w:pPr>
      <w:r>
        <w:rPr>
          <w:rFonts w:hint="eastAsia"/>
          <w:lang w:val="en-US" w:eastAsia="zh-CN"/>
        </w:rPr>
        <w:t>Mobile IAB indication</w:t>
      </w:r>
    </w:p>
    <w:p>
      <w:pPr>
        <w:keepNext w:val="0"/>
        <w:keepLines w:val="0"/>
        <w:pageBreakBefore w:val="0"/>
        <w:widowControl w:val="0"/>
        <w:kinsoku/>
        <w:wordWrap/>
        <w:overflowPunct/>
        <w:topLinePunct w:val="0"/>
        <w:autoSpaceDE/>
        <w:autoSpaceDN/>
        <w:bidi w:val="0"/>
        <w:adjustRightInd/>
        <w:snapToGrid/>
        <w:spacing w:before="157" w:beforeLines="50"/>
        <w:ind w:left="0" w:leftChars="0" w:firstLine="0" w:firstLineChars="0"/>
        <w:jc w:val="both"/>
        <w:textAlignment w:val="auto"/>
        <w:rPr>
          <w:rFonts w:hint="eastAsia" w:eastAsia="Batang" w:cs="Times New Roman"/>
          <w:lang w:val="en-US" w:eastAsia="zh-CN"/>
        </w:rPr>
      </w:pPr>
      <w:r>
        <w:rPr>
          <w:rFonts w:hint="eastAsia" w:cs="Times New Roman"/>
          <w:i w:val="0"/>
          <w:iCs w:val="0"/>
          <w:color w:val="auto"/>
          <w:kern w:val="2"/>
          <w:sz w:val="20"/>
          <w:szCs w:val="20"/>
          <w:lang w:val="en-US" w:eastAsia="zh-CN"/>
        </w:rPr>
        <w:t xml:space="preserve">During RAN2#119 meeting, </w:t>
      </w:r>
      <w:r>
        <w:rPr>
          <w:rFonts w:hint="eastAsia" w:ascii="Times New Roman" w:hAnsi="Times New Roman" w:cs="Times New Roman"/>
          <w:i w:val="0"/>
          <w:iCs w:val="0"/>
          <w:color w:val="auto"/>
          <w:kern w:val="2"/>
          <w:sz w:val="20"/>
          <w:szCs w:val="20"/>
          <w:lang w:val="en-US" w:eastAsia="zh-CN"/>
        </w:rPr>
        <w:t>RAN2 has agreed to</w:t>
      </w:r>
      <w:r>
        <w:rPr>
          <w:rFonts w:hint="default" w:ascii="Times New Roman" w:hAnsi="Times New Roman" w:cs="Times New Roman"/>
          <w:i w:val="0"/>
          <w:iCs w:val="0"/>
          <w:color w:val="auto"/>
          <w:kern w:val="2"/>
          <w:sz w:val="20"/>
          <w:szCs w:val="20"/>
          <w:lang w:val="en-US" w:eastAsia="zh-CN"/>
        </w:rPr>
        <w:t xml:space="preserve"> </w:t>
      </w:r>
      <w:r>
        <w:rPr>
          <w:rFonts w:hint="default" w:ascii="Times New Roman" w:hAnsi="Times New Roman" w:eastAsia="Batang" w:cs="Times New Roman"/>
          <w:lang w:val="en-US" w:eastAsia="zh-CN"/>
        </w:rPr>
        <w:t>discuss whether the mobile IAB-MT need to send a mobile-IAB indication (capability or mobility) to the donor</w:t>
      </w:r>
      <w:r>
        <w:rPr>
          <w:rFonts w:hint="eastAsia" w:eastAsia="Batang" w:cs="Times New Roman"/>
          <w:lang w:val="en-US" w:eastAsia="zh-CN"/>
        </w:rPr>
        <w:t xml:space="preserve"> </w:t>
      </w:r>
      <w:r>
        <w:rPr>
          <w:rFonts w:hint="default" w:ascii="Times New Roman" w:hAnsi="Times New Roman" w:eastAsia="Batang" w:cs="Times New Roman"/>
          <w:lang w:val="en-US" w:eastAsia="zh-CN"/>
        </w:rPr>
        <w:t>CU</w:t>
      </w:r>
      <w:r>
        <w:rPr>
          <w:rFonts w:hint="eastAsia" w:ascii="Times New Roman" w:hAnsi="Times New Roman" w:eastAsia="Batang" w:cs="Times New Roman"/>
          <w:lang w:val="en-US" w:eastAsia="zh-CN"/>
        </w:rPr>
        <w:t>.</w:t>
      </w:r>
      <w:r>
        <w:rPr>
          <w:rFonts w:hint="eastAsia" w:eastAsia="Batang" w:cs="Times New Roman"/>
          <w:lang w:val="en-US" w:eastAsia="zh-CN"/>
        </w:rPr>
        <w:t xml:space="preserve"> On the other hand, it has been </w:t>
      </w:r>
      <w:r>
        <w:rPr>
          <w:rFonts w:hint="eastAsia" w:ascii="Times New Roman" w:hAnsi="Times New Roman" w:cs="Times New Roman"/>
          <w:i w:val="0"/>
          <w:iCs w:val="0"/>
          <w:color w:val="auto"/>
          <w:kern w:val="2"/>
          <w:sz w:val="20"/>
          <w:szCs w:val="20"/>
          <w:lang w:val="en-US" w:eastAsia="zh-CN"/>
        </w:rPr>
        <w:t>agreed during RAN3#117 meeting that t</w:t>
      </w:r>
      <w:r>
        <w:rPr>
          <w:rFonts w:hint="default" w:ascii="Times New Roman" w:hAnsi="Times New Roman" w:cs="Times New Roman"/>
          <w:i w:val="0"/>
          <w:iCs w:val="0"/>
          <w:color w:val="auto"/>
          <w:kern w:val="2"/>
          <w:sz w:val="20"/>
          <w:szCs w:val="20"/>
        </w:rPr>
        <w:t xml:space="preserve">he donor CU should know that the IAB node is “mobile”. </w:t>
      </w:r>
      <w:r>
        <w:rPr>
          <w:rFonts w:hint="eastAsia" w:cs="Times New Roman"/>
          <w:i w:val="0"/>
          <w:iCs w:val="0"/>
          <w:color w:val="auto"/>
          <w:kern w:val="2"/>
          <w:sz w:val="20"/>
          <w:szCs w:val="20"/>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157" w:beforeLines="50"/>
        <w:ind w:left="0" w:leftChars="0" w:firstLine="0" w:firstLineChars="0"/>
        <w:jc w:val="both"/>
        <w:textAlignment w:val="auto"/>
        <w:rPr>
          <w:rFonts w:hint="default" w:ascii="Times New Roman" w:hAnsi="Times New Roman" w:eastAsia="Batang" w:cs="Times New Roman"/>
          <w:lang w:val="en-US" w:eastAsia="zh-CN"/>
        </w:rPr>
      </w:pPr>
      <w:r>
        <w:rPr>
          <w:rFonts w:hint="eastAsia" w:ascii="Times New Roman" w:hAnsi="Times New Roman" w:eastAsia="Batang" w:cs="Times New Roman"/>
          <w:lang w:val="en-US" w:eastAsia="zh-CN"/>
        </w:rPr>
        <w:t xml:space="preserve"> In our opinion, it is </w:t>
      </w:r>
      <w:r>
        <w:rPr>
          <w:rFonts w:hint="eastAsia" w:eastAsia="Batang" w:cs="Times New Roman"/>
          <w:lang w:val="en-US" w:eastAsia="zh-CN"/>
        </w:rPr>
        <w:t>necessary</w:t>
      </w:r>
      <w:r>
        <w:rPr>
          <w:rFonts w:hint="eastAsia" w:ascii="Times New Roman" w:hAnsi="Times New Roman" w:eastAsia="Batang" w:cs="Times New Roman"/>
          <w:lang w:val="en-US" w:eastAsia="zh-CN"/>
        </w:rPr>
        <w:t xml:space="preserve"> for the mobile IAB-MT </w:t>
      </w:r>
      <w:r>
        <w:rPr>
          <w:rFonts w:hint="eastAsia" w:eastAsia="Batang" w:cs="Times New Roman"/>
          <w:lang w:val="en-US" w:eastAsia="zh-CN"/>
        </w:rPr>
        <w:t xml:space="preserve">to </w:t>
      </w:r>
      <w:r>
        <w:rPr>
          <w:rFonts w:hint="eastAsia" w:ascii="Times New Roman" w:hAnsi="Times New Roman" w:eastAsia="Batang" w:cs="Times New Roman"/>
          <w:lang w:val="en-US" w:eastAsia="zh-CN"/>
        </w:rPr>
        <w:t>send the mobile-IAB indication during RRC setup procedure to the donor</w:t>
      </w:r>
      <w:r>
        <w:rPr>
          <w:rFonts w:hint="eastAsia" w:eastAsia="Batang" w:cs="Times New Roman"/>
          <w:lang w:val="en-US" w:eastAsia="zh-CN"/>
        </w:rPr>
        <w:t xml:space="preserve"> </w:t>
      </w:r>
      <w:r>
        <w:rPr>
          <w:rFonts w:hint="eastAsia" w:ascii="Times New Roman" w:hAnsi="Times New Roman" w:eastAsia="Batang" w:cs="Times New Roman"/>
          <w:lang w:val="en-US" w:eastAsia="zh-CN"/>
        </w:rPr>
        <w:t>CU. Based on the mobile-IAB indication, the donor CU may decide whether to allow the access of the mobile IAB node. Th</w:t>
      </w:r>
      <w:r>
        <w:rPr>
          <w:rFonts w:hint="eastAsia" w:eastAsia="Batang" w:cs="Times New Roman"/>
          <w:lang w:val="en-US" w:eastAsia="zh-CN"/>
        </w:rPr>
        <w:t>e</w:t>
      </w:r>
      <w:r>
        <w:rPr>
          <w:rFonts w:hint="eastAsia" w:ascii="Times New Roman" w:hAnsi="Times New Roman" w:eastAsia="Batang" w:cs="Times New Roman"/>
          <w:lang w:val="en-US" w:eastAsia="zh-CN"/>
        </w:rPr>
        <w:t xml:space="preserve"> mobile IAB indication may </w:t>
      </w:r>
      <w:r>
        <w:rPr>
          <w:rFonts w:hint="eastAsia" w:eastAsia="Batang" w:cs="Times New Roman"/>
          <w:lang w:val="en-US" w:eastAsia="zh-CN"/>
        </w:rPr>
        <w:t xml:space="preserve">also </w:t>
      </w:r>
      <w:r>
        <w:rPr>
          <w:rFonts w:hint="eastAsia" w:ascii="Times New Roman" w:hAnsi="Times New Roman" w:eastAsia="Batang" w:cs="Times New Roman"/>
          <w:lang w:val="en-US" w:eastAsia="zh-CN"/>
        </w:rPr>
        <w:t>keep the donor CU informed that the cells of the co</w:t>
      </w:r>
      <w:r>
        <w:rPr>
          <w:rFonts w:hint="eastAsia" w:eastAsia="Batang" w:cs="Times New Roman"/>
          <w:lang w:val="en-US" w:eastAsia="zh-CN"/>
        </w:rPr>
        <w:t>-</w:t>
      </w:r>
      <w:r>
        <w:rPr>
          <w:rFonts w:hint="eastAsia" w:ascii="Times New Roman" w:hAnsi="Times New Roman" w:eastAsia="Batang" w:cs="Times New Roman"/>
          <w:lang w:val="en-US" w:eastAsia="zh-CN"/>
        </w:rPr>
        <w:t>located mobile IAB-DU are mobile and thus the UEs which connect to network via the</w:t>
      </w:r>
      <w:r>
        <w:rPr>
          <w:rFonts w:hint="eastAsia" w:eastAsia="Batang" w:cs="Times New Roman"/>
          <w:lang w:val="en-US" w:eastAsia="zh-CN"/>
        </w:rPr>
        <w:t>se</w:t>
      </w:r>
      <w:r>
        <w:rPr>
          <w:rFonts w:hint="eastAsia" w:ascii="Times New Roman" w:hAnsi="Times New Roman" w:eastAsia="Batang" w:cs="Times New Roman"/>
          <w:lang w:val="en-US" w:eastAsia="zh-CN"/>
        </w:rPr>
        <w:t xml:space="preserve"> cells </w:t>
      </w:r>
      <w:r>
        <w:rPr>
          <w:rFonts w:hint="eastAsia" w:eastAsia="Batang" w:cs="Times New Roman"/>
          <w:lang w:val="en-US" w:eastAsia="zh-CN"/>
        </w:rPr>
        <w:t xml:space="preserve">are served by mobile IAB. Then the donor CU may take this into account when configuring the UEs served by MBSR. For example, the donor CU may configure the UE to reduce the measurement and potential report of neighboring cells. </w:t>
      </w:r>
    </w:p>
    <w:p>
      <w:pPr>
        <w:keepNext w:val="0"/>
        <w:keepLines w:val="0"/>
        <w:pageBreakBefore w:val="0"/>
        <w:widowControl w:val="0"/>
        <w:kinsoku/>
        <w:wordWrap/>
        <w:overflowPunct/>
        <w:topLinePunct w:val="0"/>
        <w:autoSpaceDE/>
        <w:autoSpaceDN/>
        <w:bidi w:val="0"/>
        <w:adjustRightInd/>
        <w:snapToGrid/>
        <w:spacing w:before="157" w:beforeLines="50"/>
        <w:textAlignment w:val="auto"/>
        <w:rPr>
          <w:rFonts w:hint="eastAsia"/>
          <w:b/>
          <w:bCs/>
          <w:lang w:val="en-US" w:eastAsia="zh-CN"/>
        </w:rPr>
      </w:pPr>
      <w:r>
        <w:rPr>
          <w:rFonts w:hint="default" w:ascii="Times New Roman" w:hAnsi="Times New Roman" w:cs="Times New Roman"/>
          <w:b/>
          <w:bCs/>
          <w:i w:val="0"/>
          <w:iCs w:val="0"/>
          <w:color w:val="auto"/>
          <w:kern w:val="2"/>
          <w:sz w:val="20"/>
          <w:szCs w:val="20"/>
          <w:lang w:val="en-US" w:eastAsia="zh-CN"/>
        </w:rPr>
        <w:t>Proposal</w:t>
      </w:r>
      <w:r>
        <w:rPr>
          <w:rFonts w:hint="eastAsia" w:cs="Times New Roman"/>
          <w:b/>
          <w:bCs/>
          <w:i w:val="0"/>
          <w:iCs w:val="0"/>
          <w:color w:val="auto"/>
          <w:kern w:val="2"/>
          <w:sz w:val="20"/>
          <w:szCs w:val="20"/>
          <w:lang w:val="en-US" w:eastAsia="zh-CN"/>
        </w:rPr>
        <w:t xml:space="preserve"> 5</w:t>
      </w:r>
      <w:r>
        <w:rPr>
          <w:rFonts w:hint="default" w:ascii="Times New Roman" w:hAnsi="Times New Roman" w:cs="Times New Roman"/>
          <w:b/>
          <w:bCs/>
          <w:i w:val="0"/>
          <w:iCs w:val="0"/>
          <w:color w:val="auto"/>
          <w:kern w:val="2"/>
          <w:sz w:val="20"/>
          <w:szCs w:val="20"/>
          <w:lang w:val="en-US" w:eastAsia="zh-CN"/>
        </w:rPr>
        <w:t xml:space="preserve">: </w:t>
      </w:r>
      <w:r>
        <w:rPr>
          <w:rFonts w:hint="eastAsia" w:eastAsia="Batang" w:cs="Times New Roman"/>
          <w:b/>
          <w:bCs/>
          <w:lang w:val="en-US" w:eastAsia="zh-CN"/>
        </w:rPr>
        <w:t>M</w:t>
      </w:r>
      <w:r>
        <w:rPr>
          <w:rFonts w:hint="eastAsia" w:ascii="Times New Roman" w:hAnsi="Times New Roman" w:eastAsia="Batang" w:cs="Times New Roman"/>
          <w:b/>
          <w:bCs/>
          <w:lang w:val="en-US" w:eastAsia="zh-CN"/>
        </w:rPr>
        <w:t xml:space="preserve">obile IAB-MT </w:t>
      </w:r>
      <w:r>
        <w:rPr>
          <w:rFonts w:hint="eastAsia" w:eastAsia="Batang" w:cs="Times New Roman"/>
          <w:b/>
          <w:bCs/>
          <w:lang w:val="en-US" w:eastAsia="zh-CN"/>
        </w:rPr>
        <w:t xml:space="preserve">may </w:t>
      </w:r>
      <w:r>
        <w:rPr>
          <w:rFonts w:hint="eastAsia" w:ascii="Times New Roman" w:hAnsi="Times New Roman" w:eastAsia="Batang" w:cs="Times New Roman"/>
          <w:b/>
          <w:bCs/>
          <w:lang w:val="en-US" w:eastAsia="zh-CN"/>
        </w:rPr>
        <w:t>send the mobile-IAB indication to the donor</w:t>
      </w:r>
      <w:r>
        <w:rPr>
          <w:rFonts w:hint="eastAsia" w:eastAsia="Batang" w:cs="Times New Roman"/>
          <w:b/>
          <w:bCs/>
          <w:lang w:val="en-US" w:eastAsia="zh-CN"/>
        </w:rPr>
        <w:t xml:space="preserve"> </w:t>
      </w:r>
      <w:r>
        <w:rPr>
          <w:rFonts w:hint="eastAsia" w:ascii="Times New Roman" w:hAnsi="Times New Roman" w:eastAsia="Batang" w:cs="Times New Roman"/>
          <w:b/>
          <w:bCs/>
          <w:lang w:val="en-US" w:eastAsia="zh-CN"/>
        </w:rPr>
        <w:t>CU</w:t>
      </w:r>
      <w:r>
        <w:rPr>
          <w:rFonts w:hint="eastAsia" w:eastAsia="Batang" w:cs="Times New Roman"/>
          <w:b/>
          <w:bCs/>
          <w:lang w:val="en-US" w:eastAsia="zh-CN"/>
        </w:rPr>
        <w:t xml:space="preserve">, which helps the donor CU to identify that a UE served by the mobile IAB cell. </w:t>
      </w:r>
    </w:p>
    <w:p>
      <w:pPr>
        <w:pStyle w:val="4"/>
        <w:bidi w:val="0"/>
        <w:rPr>
          <w:rFonts w:hint="eastAsia"/>
          <w:lang w:val="en-US" w:eastAsia="zh-CN"/>
        </w:rPr>
      </w:pPr>
      <w:r>
        <w:rPr>
          <w:rFonts w:hint="eastAsia"/>
          <w:lang w:val="en-US" w:eastAsia="zh-CN"/>
        </w:rPr>
        <w:t xml:space="preserve">Two logical DUs </w:t>
      </w:r>
    </w:p>
    <w:p>
      <w:pPr>
        <w:jc w:val="both"/>
        <w:rPr>
          <w:rFonts w:hint="eastAsia"/>
          <w:lang w:val="en-US" w:eastAsia="zh-CN"/>
        </w:rPr>
      </w:pPr>
      <w:r>
        <w:rPr>
          <w:rFonts w:hint="eastAsia"/>
          <w:lang w:val="en-US" w:eastAsia="zh-CN"/>
        </w:rPr>
        <w:t xml:space="preserve">During RAN2#119e meeting, the topic on full migration was discussed and it was agreed that for </w:t>
      </w:r>
      <w:r>
        <w:t>“dual-DU-way” of doing full migration, RAN2 may discuss whether the legacy UE should see the two logical cells/DUs as separate or same physical cell(s), and what procedure(s) the legacy UE needs to perform in either case.</w:t>
      </w:r>
      <w:r>
        <w:rPr>
          <w:rFonts w:hint="eastAsia"/>
          <w:lang w:val="en-US" w:eastAsia="zh-CN"/>
        </w:rPr>
        <w:t xml:space="preserve"> Meanwhile, full migration of mobile IAB node was discussed in RAN3#117e meeting and some agreements were achieved as copied in the below:</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noWrap w:val="0"/>
            <w:vAlign w:val="top"/>
          </w:tcPr>
          <w:p>
            <w:pPr>
              <w:widowControl w:val="0"/>
              <w:ind w:left="144" w:hanging="144"/>
              <w:rPr>
                <w:rFonts w:ascii="Calibri" w:hAnsi="Calibri" w:cs="Calibri"/>
                <w:b w:val="0"/>
                <w:bCs/>
                <w:color w:val="auto"/>
                <w:sz w:val="18"/>
                <w:szCs w:val="18"/>
                <w:lang w:eastAsia="en-US"/>
              </w:rPr>
            </w:pPr>
            <w:r>
              <w:rPr>
                <w:rFonts w:ascii="Calibri" w:hAnsi="Calibri" w:cs="Calibri"/>
                <w:b w:val="0"/>
                <w:bCs/>
                <w:iCs/>
                <w:color w:val="auto"/>
                <w:sz w:val="18"/>
                <w:szCs w:val="18"/>
                <w:lang w:eastAsia="en-US"/>
              </w:rPr>
              <w:t>For DU migration cases</w:t>
            </w:r>
            <w:r>
              <w:rPr>
                <w:rFonts w:ascii="Calibri" w:hAnsi="Calibri" w:cs="Calibri"/>
                <w:b w:val="0"/>
                <w:bCs/>
                <w:color w:val="auto"/>
                <w:sz w:val="18"/>
                <w:szCs w:val="18"/>
                <w:lang w:eastAsia="en-US"/>
              </w:rPr>
              <w:t>, to execute the handover of the served UEs, the mobile IAB-node concurrently supports two logical mobile IAB-DUs, which have F1AP associations with the source CU and the target CU, respectively.</w:t>
            </w:r>
          </w:p>
          <w:p>
            <w:pPr>
              <w:widowControl w:val="0"/>
              <w:ind w:left="144" w:hanging="144"/>
              <w:rPr>
                <w:rFonts w:hint="default"/>
                <w:vertAlign w:val="baseline"/>
                <w:lang w:val="en-US" w:eastAsia="zh-CN"/>
              </w:rPr>
            </w:pPr>
            <w:r>
              <w:rPr>
                <w:rFonts w:ascii="Calibri" w:hAnsi="Calibri" w:cs="Calibri"/>
                <w:b w:val="0"/>
                <w:bCs/>
                <w:color w:val="auto"/>
                <w:sz w:val="18"/>
                <w:szCs w:val="18"/>
                <w:lang w:eastAsia="en-US"/>
              </w:rPr>
              <w:t>The UEs connected to the mobile IAB-node are handed over from the cell of the logical mobile IAB-DU (i.e., the source logical mobile IAB-DU) that has an F1AP association with the source CU to the cell of the logical mobile IAB-DU (i.e., the target logical mobile IAB-DU) that has an F1AP association with the target CU.</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ascii="Times New Roman" w:hAnsi="Times New Roman" w:cs="Times New Roman"/>
          <w:b w:val="0"/>
          <w:bCs/>
          <w:color w:val="auto"/>
          <w:sz w:val="20"/>
          <w:szCs w:val="20"/>
          <w:lang w:eastAsia="en-US"/>
        </w:rPr>
      </w:pPr>
      <w:r>
        <w:rPr>
          <w:rFonts w:hint="eastAsia"/>
          <w:lang w:val="en-US" w:eastAsia="zh-CN"/>
        </w:rPr>
        <w:t>As agreed in RAN3, the two logical DUs have F1 connection with source and target CUs concurrently. And the served UEs are handed over from cells of the source logical DU to the cells of</w:t>
      </w:r>
      <w:r>
        <w:rPr>
          <w:rFonts w:hint="eastAsia" w:ascii="Times New Roman" w:hAnsi="Times New Roman" w:cs="Times New Roman"/>
          <w:lang w:val="en-US" w:eastAsia="zh-CN"/>
        </w:rPr>
        <w:t xml:space="preserve"> the target logical DU. </w:t>
      </w:r>
      <w:r>
        <w:rPr>
          <w:rFonts w:hint="eastAsia" w:cs="Times New Roman"/>
          <w:lang w:val="en-US" w:eastAsia="zh-CN"/>
        </w:rPr>
        <w:t xml:space="preserve">It is still an open issue in RAN3 on </w:t>
      </w:r>
      <w:r>
        <w:rPr>
          <w:rFonts w:hint="default" w:ascii="Times New Roman" w:hAnsi="Times New Roman" w:cs="Times New Roman"/>
          <w:sz w:val="20"/>
          <w:szCs w:val="20"/>
          <w:lang w:val="en-US" w:eastAsia="zh-CN"/>
        </w:rPr>
        <w:t>w</w:t>
      </w:r>
      <w:r>
        <w:rPr>
          <w:rFonts w:hint="default" w:ascii="Times New Roman" w:hAnsi="Times New Roman" w:cs="Times New Roman"/>
          <w:b w:val="0"/>
          <w:bCs/>
          <w:color w:val="auto"/>
          <w:sz w:val="20"/>
          <w:szCs w:val="20"/>
          <w:lang w:eastAsia="en-US"/>
        </w:rPr>
        <w:t>hether source and target logical cells should appear to the UE as distinguishable cells on layer 1 is discussed in other WGs and pending progress communication from them.</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ascii="Times New Roman" w:hAnsi="Times New Roman" w:cs="Times New Roman"/>
          <w:lang w:val="en-US" w:eastAsia="zh-CN"/>
        </w:rPr>
      </w:pPr>
      <w:r>
        <w:rPr>
          <w:rFonts w:hint="eastAsia"/>
          <w:lang w:val="en-US" w:eastAsia="zh-CN"/>
        </w:rPr>
        <w:t xml:space="preserve">Actually, the resource configuration of the two logical DUs has been discussed in RAN2 in R17. During RAN2#115-e meeting, it was agreed that </w:t>
      </w:r>
      <w:r>
        <w:t>R</w:t>
      </w:r>
      <w:r>
        <w:rPr>
          <w:rFonts w:hint="eastAsia"/>
          <w:lang w:val="en-US" w:eastAsia="zh-CN"/>
        </w:rPr>
        <w:t>AN</w:t>
      </w:r>
      <w:r>
        <w:t>2 assumes that the UE need to be able to treat the separate resources as different cells on L1</w:t>
      </w:r>
      <w:r>
        <w:rPr>
          <w:rFonts w:hint="eastAsia"/>
          <w:lang w:val="en-US" w:eastAsia="zh-CN"/>
        </w:rPr>
        <w:t xml:space="preserve">. That means </w:t>
      </w:r>
      <w:r>
        <w:rPr>
          <w:rFonts w:hint="eastAsia" w:ascii="Times New Roman" w:hAnsi="Times New Roman" w:cs="Times New Roman"/>
          <w:lang w:val="en-US" w:eastAsia="zh-CN"/>
        </w:rPr>
        <w:t xml:space="preserve">the two sets of cells of the two logical DUs should appear to the UE as </w:t>
      </w:r>
      <w:r>
        <w:rPr>
          <w:rFonts w:hint="eastAsia" w:ascii="Times New Roman" w:hAnsi="Times New Roman" w:cs="Times New Roman"/>
          <w:lang w:val="en-US" w:eastAsia="en-US"/>
        </w:rPr>
        <w:t>distinguishable cells</w:t>
      </w:r>
      <w:r>
        <w:rPr>
          <w:rFonts w:hint="eastAsia" w:ascii="Times New Roman" w:hAnsi="Times New Roman" w:cs="Times New Roman"/>
          <w:lang w:val="en-US" w:eastAsia="zh-CN"/>
        </w:rPr>
        <w:t xml:space="preserve"> using different PCIs. In this case, the two sets of cells could be able to be activated simultaneously at one time.</w:t>
      </w:r>
      <w:r>
        <w:rPr>
          <w:rFonts w:hint="eastAsia" w:cs="Times New Roman"/>
          <w:lang w:val="en-US" w:eastAsia="zh-CN"/>
        </w:rPr>
        <w:t xml:space="preserve"> </w:t>
      </w:r>
      <w:r>
        <w:rPr>
          <w:rFonts w:hint="eastAsia" w:ascii="Times New Roman" w:hAnsi="Times New Roman" w:cs="Times New Roman"/>
          <w:lang w:val="en-US" w:eastAsia="zh-CN"/>
        </w:rPr>
        <w:t xml:space="preserve">In this way, the served UE can perform legacy handover procedure from the cell of source logical DU to the cell of target logical DU. </w:t>
      </w:r>
    </w:p>
    <w:p>
      <w:pPr>
        <w:jc w:val="both"/>
        <w:rPr>
          <w:rFonts w:hint="eastAsia" w:ascii="Times New Roman" w:hAnsi="Times New Roman" w:cs="Times New Roman"/>
          <w:b/>
          <w:bCs/>
          <w:lang w:val="en-US" w:eastAsia="zh-CN"/>
        </w:rPr>
      </w:pPr>
      <w:r>
        <w:rPr>
          <w:rFonts w:hint="eastAsia" w:ascii="Times New Roman" w:hAnsi="Times New Roman" w:cs="Times New Roman"/>
          <w:b/>
          <w:bCs/>
          <w:lang w:val="en-US" w:eastAsia="zh-CN"/>
        </w:rPr>
        <w:t>Proposal</w:t>
      </w:r>
      <w:r>
        <w:rPr>
          <w:rFonts w:hint="eastAsia" w:cs="Times New Roman"/>
          <w:b/>
          <w:bCs/>
          <w:lang w:val="en-US" w:eastAsia="zh-CN"/>
        </w:rPr>
        <w:t xml:space="preserve"> 6</w:t>
      </w:r>
      <w:r>
        <w:rPr>
          <w:rFonts w:hint="eastAsia" w:ascii="Times New Roman" w:hAnsi="Times New Roman" w:cs="Times New Roman"/>
          <w:b/>
          <w:bCs/>
          <w:lang w:val="en-US" w:eastAsia="zh-CN"/>
        </w:rPr>
        <w:t xml:space="preserve">: The two sets of cells of the two logical DUs should appear to the UE as </w:t>
      </w:r>
      <w:r>
        <w:rPr>
          <w:rFonts w:hint="eastAsia" w:ascii="Times New Roman" w:hAnsi="Times New Roman" w:cs="Times New Roman"/>
          <w:b/>
          <w:bCs/>
          <w:lang w:val="en-US" w:eastAsia="en-US"/>
        </w:rPr>
        <w:t>distinguishable cells</w:t>
      </w:r>
      <w:r>
        <w:rPr>
          <w:rFonts w:hint="eastAsia" w:ascii="Times New Roman" w:hAnsi="Times New Roman" w:cs="Times New Roman"/>
          <w:b/>
          <w:bCs/>
          <w:lang w:val="en-US" w:eastAsia="zh-CN"/>
        </w:rPr>
        <w:t xml:space="preserve"> using different PCIs.</w:t>
      </w:r>
      <w:r>
        <w:rPr>
          <w:rFonts w:hint="eastAsia" w:cs="Times New Roman"/>
          <w:b/>
          <w:bCs/>
          <w:lang w:val="en-US" w:eastAsia="zh-CN"/>
        </w:rPr>
        <w:t xml:space="preserve"> </w:t>
      </w:r>
      <w:r>
        <w:rPr>
          <w:rFonts w:hint="eastAsia" w:ascii="Times New Roman" w:hAnsi="Times New Roman" w:cs="Times New Roman"/>
          <w:b/>
          <w:bCs/>
          <w:lang w:val="en-US" w:eastAsia="zh-CN"/>
        </w:rPr>
        <w:t>The served UEs perform legacy handover procedure from the cell of source logical DU to the cell of target logical DU.</w:t>
      </w:r>
    </w:p>
    <w:p>
      <w:pPr>
        <w:pStyle w:val="4"/>
        <w:bidi w:val="0"/>
        <w:rPr>
          <w:rFonts w:hint="eastAsia"/>
          <w:lang w:val="en-US" w:eastAsia="zh-CN"/>
        </w:rPr>
      </w:pPr>
      <w:r>
        <w:rPr>
          <w:rFonts w:hint="eastAsia"/>
          <w:lang w:val="en-US" w:eastAsia="zh-CN"/>
        </w:rPr>
        <w:t>PCI configuration</w:t>
      </w:r>
    </w:p>
    <w:p>
      <w:pPr>
        <w:overflowPunct w:val="0"/>
        <w:autoSpaceDE w:val="0"/>
        <w:autoSpaceDN w:val="0"/>
        <w:adjustRightInd w:val="0"/>
        <w:spacing w:before="156" w:beforeLines="50"/>
        <w:jc w:val="both"/>
        <w:rPr>
          <w:rFonts w:hint="default" w:ascii="Times New Roman" w:hAnsi="Times New Roman" w:eastAsia="Batang" w:cs="Times New Roman"/>
          <w:highlight w:val="none"/>
          <w:lang w:val="en-US" w:eastAsia="zh-CN"/>
        </w:rPr>
      </w:pPr>
      <w:r>
        <w:rPr>
          <w:rFonts w:hint="eastAsia" w:ascii="Times New Roman" w:hAnsi="Times New Roman" w:eastAsia="Batang" w:cs="Times New Roman"/>
          <w:highlight w:val="none"/>
          <w:lang w:val="en-US" w:eastAsia="zh-CN"/>
        </w:rPr>
        <w:t xml:space="preserve">It has been agreed that </w:t>
      </w:r>
      <w:r>
        <w:rPr>
          <w:rFonts w:hint="default" w:ascii="Times New Roman" w:hAnsi="Times New Roman" w:eastAsia="Batang" w:cs="Times New Roman"/>
          <w:highlight w:val="none"/>
          <w:lang w:val="en-US" w:eastAsia="zh-CN"/>
        </w:rPr>
        <w:t xml:space="preserve">RAN2 may discuss whether there are issues with PCI partitioning that needs to/can be addressed (to be used in applicable scenario), if any found within R2 scope. </w:t>
      </w:r>
      <w:r>
        <w:rPr>
          <w:rFonts w:hint="eastAsia" w:ascii="Times New Roman" w:hAnsi="Times New Roman" w:eastAsia="Batang" w:cs="Times New Roman"/>
          <w:highlight w:val="none"/>
          <w:lang w:val="en-US" w:eastAsia="zh-CN"/>
        </w:rPr>
        <w:t>RAN2 m</w:t>
      </w:r>
      <w:r>
        <w:rPr>
          <w:rFonts w:hint="default" w:ascii="Times New Roman" w:hAnsi="Times New Roman" w:eastAsia="Batang" w:cs="Times New Roman"/>
          <w:highlight w:val="none"/>
          <w:lang w:val="en-US" w:eastAsia="zh-CN"/>
        </w:rPr>
        <w:t>ay discuss</w:t>
      </w:r>
      <w:r>
        <w:rPr>
          <w:rFonts w:hint="eastAsia" w:ascii="Times New Roman" w:hAnsi="Times New Roman" w:eastAsia="Batang" w:cs="Times New Roman"/>
          <w:highlight w:val="none"/>
          <w:lang w:val="en-US" w:eastAsia="zh-CN"/>
        </w:rPr>
        <w:t xml:space="preserve"> the</w:t>
      </w:r>
      <w:r>
        <w:rPr>
          <w:rFonts w:hint="default" w:ascii="Times New Roman" w:hAnsi="Times New Roman" w:eastAsia="Batang" w:cs="Times New Roman"/>
          <w:highlight w:val="none"/>
          <w:lang w:val="en-US" w:eastAsia="zh-CN"/>
        </w:rPr>
        <w:t xml:space="preserve"> need and feasibility from R2 point of view of a dynamic PCI change mechanis</w:t>
      </w:r>
      <w:r>
        <w:rPr>
          <w:rFonts w:hint="eastAsia" w:ascii="Times New Roman" w:hAnsi="Times New Roman" w:eastAsia="Batang" w:cs="Times New Roman"/>
          <w:highlight w:val="none"/>
          <w:lang w:val="en-US" w:eastAsia="zh-CN"/>
        </w:rPr>
        <w:t>m, m</w:t>
      </w:r>
      <w:r>
        <w:rPr>
          <w:rFonts w:hint="default" w:ascii="Times New Roman" w:hAnsi="Times New Roman" w:eastAsia="Batang" w:cs="Times New Roman"/>
          <w:highlight w:val="none"/>
          <w:lang w:val="en-US" w:eastAsia="zh-CN"/>
        </w:rPr>
        <w:t xml:space="preserve">ay also discuss whether enhancements to/vs current UE/MT reporting are useful/necessary to improve PCI collision detection. </w:t>
      </w:r>
    </w:p>
    <w:p>
      <w:pPr>
        <w:jc w:val="both"/>
        <w:rPr>
          <w:rFonts w:hint="eastAsia"/>
          <w:lang w:val="en-US" w:eastAsia="zh-CN"/>
        </w:rPr>
      </w:pPr>
      <w:r>
        <w:rPr>
          <w:rFonts w:hint="eastAsia"/>
          <w:lang w:val="en-US" w:eastAsia="zh-CN"/>
        </w:rPr>
        <w:t>On the other hand, RAN3 has agreed that</w:t>
      </w:r>
      <w:r>
        <w:rPr>
          <w:rFonts w:hint="eastAsia"/>
          <w:i w:val="0"/>
          <w:iCs w:val="0"/>
          <w:color w:val="auto"/>
          <w:lang w:val="en-US" w:eastAsia="zh-CN"/>
        </w:rPr>
        <w:t xml:space="preserve"> </w:t>
      </w:r>
      <w:r>
        <w:rPr>
          <w:rFonts w:eastAsia="MS Mincho" w:cs="Calibri"/>
          <w:i w:val="0"/>
          <w:iCs w:val="0"/>
          <w:color w:val="auto"/>
          <w:kern w:val="2"/>
          <w:sz w:val="20"/>
          <w:szCs w:val="20"/>
        </w:rPr>
        <w:t>PCI space partitioning via OAM configuration can be used in some cases for avoidance of PCI collisions</w:t>
      </w:r>
      <w:r>
        <w:rPr>
          <w:rFonts w:hint="eastAsia" w:eastAsia="宋体" w:cs="Calibri"/>
          <w:i w:val="0"/>
          <w:iCs w:val="0"/>
          <w:color w:val="auto"/>
          <w:kern w:val="2"/>
          <w:sz w:val="20"/>
          <w:szCs w:val="20"/>
          <w:lang w:val="en-US" w:eastAsia="zh-CN"/>
        </w:rPr>
        <w:t xml:space="preserve">. For example, </w:t>
      </w:r>
      <w:r>
        <w:rPr>
          <w:rFonts w:hint="eastAsia"/>
          <w:lang w:eastAsia="zh-CN"/>
        </w:rPr>
        <w:t xml:space="preserve">PCI </w:t>
      </w:r>
      <w:r>
        <w:t>partition</w:t>
      </w:r>
      <w:r>
        <w:rPr>
          <w:rFonts w:hint="eastAsia"/>
          <w:lang w:eastAsia="zh-CN"/>
        </w:rPr>
        <w:t>ing (i.e. dedicated PCI space) could be used for mobile IAB to avoid PCI collision between mobile IAB-DU cell and fixed cells when the trajectory of mobile IAB node is predictable.</w:t>
      </w:r>
      <w:r>
        <w:rPr>
          <w:rFonts w:hint="eastAsia"/>
          <w:lang w:val="en-US" w:eastAsia="zh-CN"/>
        </w:rPr>
        <w:t xml:space="preserve"> However, as pointed out by some companies, </w:t>
      </w:r>
      <w:r>
        <w:t>PCI partitioning to avoid PCI collision for mobile IAB</w:t>
      </w:r>
      <w:r>
        <w:rPr>
          <w:rFonts w:hint="eastAsia"/>
          <w:lang w:val="en-US" w:eastAsia="zh-CN"/>
        </w:rPr>
        <w:t xml:space="preserve"> may be not always</w:t>
      </w:r>
      <w:r>
        <w:t xml:space="preserve"> practical </w:t>
      </w:r>
      <w:r>
        <w:rPr>
          <w:rFonts w:hint="eastAsia"/>
          <w:lang w:val="en-US" w:eastAsia="zh-CN"/>
        </w:rPr>
        <w:t xml:space="preserve">since </w:t>
      </w:r>
      <w:r>
        <w:t xml:space="preserve">only 1008 PCI values </w:t>
      </w:r>
      <w:r>
        <w:rPr>
          <w:rFonts w:hint="eastAsia"/>
          <w:lang w:val="en-US" w:eastAsia="zh-CN"/>
        </w:rPr>
        <w:t xml:space="preserve">are </w:t>
      </w:r>
      <w:r>
        <w:t>available</w:t>
      </w:r>
      <w:r>
        <w:rPr>
          <w:rFonts w:hint="eastAsia"/>
          <w:lang w:val="en-US" w:eastAsia="zh-CN"/>
        </w:rPr>
        <w:t xml:space="preserve">. </w:t>
      </w:r>
    </w:p>
    <w:p>
      <w:pPr>
        <w:jc w:val="both"/>
        <w:rPr>
          <w:rFonts w:hint="eastAsia"/>
          <w:lang w:val="en-US" w:eastAsia="zh-CN"/>
        </w:rPr>
      </w:pPr>
      <w:r>
        <w:rPr>
          <w:rFonts w:hint="eastAsia"/>
          <w:lang w:val="en-US" w:eastAsia="zh-CN"/>
        </w:rPr>
        <w:t>According to the existing specification, both centralized PCI assignment and distributed PCI assignment are supported for the PCI collision detection and adjustment. To be specific:</w:t>
      </w:r>
    </w:p>
    <w:p>
      <w:pPr>
        <w:numPr>
          <w:ilvl w:val="0"/>
          <w:numId w:val="13"/>
        </w:numPr>
        <w:ind w:left="420" w:leftChars="0" w:hanging="420" w:firstLineChars="0"/>
        <w:jc w:val="both"/>
        <w:rPr>
          <w:highlight w:val="none"/>
          <w:lang w:val="en-US" w:eastAsia="zh-CN"/>
        </w:rPr>
      </w:pPr>
      <w:r>
        <w:rPr>
          <w:rFonts w:hint="eastAsia"/>
          <w:highlight w:val="none"/>
          <w:lang w:val="en-US" w:eastAsia="zh-CN"/>
        </w:rPr>
        <w:t xml:space="preserve">Centralized PCI assignment: </w:t>
      </w:r>
      <w:r>
        <w:rPr>
          <w:highlight w:val="none"/>
          <w:lang w:eastAsia="zh-CN"/>
        </w:rPr>
        <w:t xml:space="preserve">the OAM </w:t>
      </w:r>
      <w:r>
        <w:rPr>
          <w:rFonts w:hint="eastAsia"/>
          <w:highlight w:val="none"/>
          <w:lang w:val="en-US" w:eastAsia="zh-CN"/>
        </w:rPr>
        <w:t xml:space="preserve">may </w:t>
      </w:r>
      <w:r>
        <w:rPr>
          <w:highlight w:val="none"/>
          <w:lang w:eastAsia="zh-CN"/>
        </w:rPr>
        <w:t>assign a single PCI for each NR cell in the gNB, and the gNB selects this value as the PCI of the NR cell.</w:t>
      </w:r>
      <w:r>
        <w:rPr>
          <w:rFonts w:hint="eastAsia"/>
          <w:highlight w:val="none"/>
          <w:lang w:val="en-US" w:eastAsia="zh-CN"/>
        </w:rPr>
        <w:t xml:space="preserve"> </w:t>
      </w:r>
      <w:r>
        <w:rPr>
          <w:rFonts w:hint="eastAsia"/>
          <w:lang w:val="en-US" w:eastAsia="zh-CN"/>
        </w:rPr>
        <w:t>With regard to the s</w:t>
      </w:r>
      <w:r>
        <w:rPr>
          <w:lang w:val="en-US" w:eastAsia="zh-CN"/>
        </w:rPr>
        <w:t xml:space="preserve">plit gNB architecture, the OAM </w:t>
      </w:r>
      <w:r>
        <w:rPr>
          <w:rFonts w:hint="eastAsia"/>
          <w:lang w:val="en-US" w:eastAsia="zh-CN"/>
        </w:rPr>
        <w:t xml:space="preserve">may </w:t>
      </w:r>
      <w:r>
        <w:rPr>
          <w:lang w:val="en-US" w:eastAsia="zh-CN"/>
        </w:rPr>
        <w:t>configure a PCI for each NR cell to the gNB-DU</w:t>
      </w:r>
      <w:r>
        <w:rPr>
          <w:rFonts w:hint="eastAsia"/>
          <w:lang w:val="en-US" w:eastAsia="zh-CN"/>
        </w:rPr>
        <w:t xml:space="preserve"> and gNB-DU report this to gNB-CU. If</w:t>
      </w:r>
      <w:r>
        <w:rPr>
          <w:lang w:val="en-US" w:eastAsia="zh-CN"/>
        </w:rPr>
        <w:t xml:space="preserve"> the gNB-CU detects PCI conflict of NR cells</w:t>
      </w:r>
      <w:r>
        <w:rPr>
          <w:rFonts w:hint="eastAsia"/>
          <w:lang w:val="en-US" w:eastAsia="zh-CN"/>
        </w:rPr>
        <w:t xml:space="preserve">, it </w:t>
      </w:r>
      <w:r>
        <w:rPr>
          <w:lang w:val="en-US" w:eastAsia="zh-CN"/>
        </w:rPr>
        <w:t>reports the NR cells suffering PCI conflict to OAM directly. The OAM is in charge of reassigning a new PCI for the NR cell subject to PCI conflict.</w:t>
      </w:r>
      <w:r>
        <w:rPr>
          <w:rFonts w:hint="eastAsia"/>
          <w:lang w:val="en-US" w:eastAsia="zh-CN"/>
        </w:rPr>
        <w:t xml:space="preserve"> </w:t>
      </w:r>
    </w:p>
    <w:p>
      <w:pPr>
        <w:numPr>
          <w:ilvl w:val="0"/>
          <w:numId w:val="13"/>
        </w:numPr>
        <w:ind w:left="420" w:leftChars="0" w:hanging="420" w:firstLineChars="0"/>
        <w:jc w:val="both"/>
        <w:rPr>
          <w:highlight w:val="none"/>
          <w:lang w:val="en-US" w:eastAsia="zh-CN"/>
        </w:rPr>
      </w:pPr>
      <w:r>
        <w:rPr>
          <w:rFonts w:hint="eastAsia"/>
          <w:highlight w:val="none"/>
          <w:lang w:val="en-US" w:eastAsia="zh-CN"/>
        </w:rPr>
        <w:t xml:space="preserve">Distributed PCI assignment: </w:t>
      </w:r>
      <w:r>
        <w:rPr>
          <w:highlight w:val="none"/>
          <w:lang w:eastAsia="zh-CN"/>
        </w:rPr>
        <w:t xml:space="preserve">the OAM </w:t>
      </w:r>
      <w:r>
        <w:rPr>
          <w:rFonts w:hint="eastAsia"/>
          <w:highlight w:val="none"/>
          <w:lang w:val="en-US" w:eastAsia="zh-CN"/>
        </w:rPr>
        <w:t xml:space="preserve">may </w:t>
      </w:r>
      <w:r>
        <w:rPr>
          <w:highlight w:val="none"/>
          <w:lang w:eastAsia="zh-CN"/>
        </w:rPr>
        <w:t xml:space="preserve">assign a list of PCIs for each NR cell in the gNB, and the gNB selects a PCI value from the list of PCIs. The gNB may restrict this list by removing some </w:t>
      </w:r>
      <w:r>
        <w:rPr>
          <w:rFonts w:hint="eastAsia"/>
          <w:highlight w:val="none"/>
          <w:lang w:val="en-US" w:eastAsia="zh-CN"/>
        </w:rPr>
        <w:t xml:space="preserve">potential collided </w:t>
      </w:r>
      <w:r>
        <w:rPr>
          <w:highlight w:val="none"/>
          <w:lang w:eastAsia="zh-CN"/>
        </w:rPr>
        <w:t xml:space="preserve">PCIs that are reported by UEs, reported over the Xn interface by neighboring gNBs, and/or </w:t>
      </w:r>
      <w:r>
        <w:rPr>
          <w:highlight w:val="none"/>
        </w:rPr>
        <w:t>acquired through other methods, e.g. detected over the air using a downlink receiver.</w:t>
      </w:r>
      <w:r>
        <w:rPr>
          <w:rFonts w:hint="eastAsia"/>
          <w:highlight w:val="none"/>
          <w:lang w:val="en-US" w:eastAsia="zh-CN"/>
        </w:rPr>
        <w:t xml:space="preserve"> </w:t>
      </w:r>
      <w:r>
        <w:rPr>
          <w:rFonts w:hint="eastAsia"/>
          <w:lang w:val="en-US" w:eastAsia="zh-CN"/>
        </w:rPr>
        <w:t>With regard to the s</w:t>
      </w:r>
      <w:r>
        <w:rPr>
          <w:lang w:val="en-US" w:eastAsia="zh-CN"/>
        </w:rPr>
        <w:t xml:space="preserve">plit gNB architecture, </w:t>
      </w:r>
      <w:r>
        <w:rPr>
          <w:highlight w:val="none"/>
          <w:lang w:val="en-US" w:eastAsia="zh-CN"/>
        </w:rPr>
        <w:t xml:space="preserve">the OAM </w:t>
      </w:r>
      <w:r>
        <w:rPr>
          <w:rFonts w:hint="eastAsia"/>
          <w:highlight w:val="none"/>
          <w:lang w:val="en-US" w:eastAsia="zh-CN"/>
        </w:rPr>
        <w:t xml:space="preserve">may </w:t>
      </w:r>
      <w:r>
        <w:rPr>
          <w:highlight w:val="none"/>
          <w:lang w:val="en-US" w:eastAsia="zh-CN"/>
        </w:rPr>
        <w:t>assign</w:t>
      </w:r>
      <w:r>
        <w:rPr>
          <w:rFonts w:hint="eastAsia"/>
          <w:highlight w:val="none"/>
          <w:lang w:val="en-US" w:eastAsia="zh-CN"/>
        </w:rPr>
        <w:t xml:space="preserve"> </w:t>
      </w:r>
      <w:r>
        <w:rPr>
          <w:highlight w:val="none"/>
          <w:lang w:val="en-US" w:eastAsia="zh-CN"/>
        </w:rPr>
        <w:t>a list of PCIs for each NR cell and sends the configured PCI list to the gNB-CU. If the gNB-CU detects PCI conflict, the gNB-CU may select a new PCI value from the pre-configured PCI list for the NR cell and send it to the gNB-DU by either F1 Setup procedure or gNB-CU configuration update procedure.</w:t>
      </w:r>
    </w:p>
    <w:p>
      <w:pPr>
        <w:numPr>
          <w:ilvl w:val="-1"/>
          <w:numId w:val="0"/>
        </w:numPr>
        <w:jc w:val="both"/>
        <w:rPr>
          <w:rFonts w:hint="eastAsia"/>
          <w:b w:val="0"/>
          <w:bCs w:val="0"/>
          <w:highlight w:val="none"/>
          <w:lang w:val="en-US" w:eastAsia="zh-CN"/>
        </w:rPr>
      </w:pPr>
      <w:r>
        <w:rPr>
          <w:rFonts w:hint="eastAsia"/>
          <w:highlight w:val="none"/>
          <w:lang w:val="en-US" w:eastAsia="zh-CN"/>
        </w:rPr>
        <w:t xml:space="preserve">When it comes to the mobile IAB scenario, the donor CU should be able to know the PCI used by the mobile IAB-DU via the </w:t>
      </w:r>
      <w:r>
        <w:rPr>
          <w:highlight w:val="none"/>
          <w:lang w:val="en-US" w:eastAsia="zh-CN"/>
        </w:rPr>
        <w:t>F1 Setup procedure</w:t>
      </w:r>
      <w:r>
        <w:rPr>
          <w:rFonts w:hint="eastAsia"/>
          <w:highlight w:val="none"/>
          <w:lang w:val="en-US" w:eastAsia="zh-CN"/>
        </w:rPr>
        <w:t>. During the full migration, the target donor CU</w:t>
      </w:r>
      <w:r>
        <w:rPr>
          <w:rFonts w:hint="eastAsia"/>
          <w:lang w:val="en-US" w:eastAsia="zh-CN"/>
        </w:rPr>
        <w:t xml:space="preserve"> could detect PCI collision upon receiving the F1 setup request (which include the PCI used by the mobile IAB-DU) from mobile IAB-DU. Suppose the PCI collision is detected, the target donor CU </w:t>
      </w:r>
      <w:r>
        <w:rPr>
          <w:rFonts w:hint="eastAsia"/>
          <w:b w:val="0"/>
          <w:bCs w:val="0"/>
          <w:lang w:val="en-US" w:eastAsia="zh-CN"/>
        </w:rPr>
        <w:t xml:space="preserve">may </w:t>
      </w:r>
      <w:r>
        <w:rPr>
          <w:rFonts w:hint="eastAsia"/>
          <w:b w:val="0"/>
          <w:bCs w:val="0"/>
          <w:highlight w:val="none"/>
          <w:lang w:val="en-US" w:eastAsia="zh-CN"/>
        </w:rPr>
        <w:t xml:space="preserve">request a new PCI from OAM or </w:t>
      </w:r>
      <w:r>
        <w:rPr>
          <w:b w:val="0"/>
          <w:bCs w:val="0"/>
          <w:highlight w:val="none"/>
          <w:lang w:val="en-US" w:eastAsia="zh-CN"/>
        </w:rPr>
        <w:t>select a new PCI value from the preconfigured PCI list</w:t>
      </w:r>
      <w:r>
        <w:rPr>
          <w:rFonts w:hint="eastAsia"/>
          <w:b w:val="0"/>
          <w:bCs w:val="0"/>
          <w:highlight w:val="none"/>
          <w:lang w:val="en-US" w:eastAsia="zh-CN"/>
        </w:rPr>
        <w:t xml:space="preserve">, </w:t>
      </w:r>
      <w:r>
        <w:rPr>
          <w:b w:val="0"/>
          <w:bCs w:val="0"/>
          <w:highlight w:val="none"/>
          <w:lang w:val="en-US" w:eastAsia="zh-CN"/>
        </w:rPr>
        <w:t>and</w:t>
      </w:r>
      <w:r>
        <w:rPr>
          <w:rFonts w:hint="eastAsia"/>
          <w:b w:val="0"/>
          <w:bCs w:val="0"/>
          <w:highlight w:val="none"/>
          <w:lang w:val="en-US" w:eastAsia="zh-CN"/>
        </w:rPr>
        <w:t xml:space="preserve"> then</w:t>
      </w:r>
      <w:r>
        <w:rPr>
          <w:b w:val="0"/>
          <w:bCs w:val="0"/>
          <w:highlight w:val="none"/>
          <w:lang w:val="en-US" w:eastAsia="zh-CN"/>
        </w:rPr>
        <w:t xml:space="preserve"> send it to the </w:t>
      </w:r>
      <w:r>
        <w:rPr>
          <w:rFonts w:hint="eastAsia"/>
          <w:b w:val="0"/>
          <w:bCs w:val="0"/>
          <w:highlight w:val="none"/>
          <w:lang w:val="en-US" w:eastAsia="zh-CN"/>
        </w:rPr>
        <w:t>mobile IAB</w:t>
      </w:r>
      <w:r>
        <w:rPr>
          <w:b w:val="0"/>
          <w:bCs w:val="0"/>
          <w:highlight w:val="none"/>
          <w:lang w:val="en-US" w:eastAsia="zh-CN"/>
        </w:rPr>
        <w:t>-DU</w:t>
      </w:r>
      <w:r>
        <w:rPr>
          <w:rFonts w:hint="eastAsia"/>
          <w:b w:val="0"/>
          <w:bCs w:val="0"/>
          <w:highlight w:val="none"/>
          <w:lang w:val="en-US" w:eastAsia="zh-CN"/>
        </w:rPr>
        <w:t xml:space="preserve">. </w:t>
      </w:r>
    </w:p>
    <w:p>
      <w:pPr>
        <w:numPr>
          <w:ilvl w:val="-1"/>
          <w:numId w:val="0"/>
        </w:numPr>
        <w:jc w:val="both"/>
        <w:rPr>
          <w:rFonts w:hint="default" w:eastAsia="等线"/>
          <w:lang w:val="en-US" w:eastAsia="zh-CN"/>
        </w:rPr>
      </w:pPr>
      <w:r>
        <w:rPr>
          <w:rFonts w:hint="eastAsia"/>
          <w:lang w:val="en-US" w:eastAsia="zh-CN"/>
        </w:rPr>
        <w:t xml:space="preserve">When it comes to the partial migration, </w:t>
      </w:r>
      <w:r>
        <w:rPr>
          <w:rFonts w:hint="eastAsia" w:eastAsia="等线"/>
          <w:lang w:val="en-US" w:eastAsia="zh-CN"/>
        </w:rPr>
        <w:t>the mobile IAB-DU has only F1 connection with F1-terminating donor CU and won</w:t>
      </w:r>
      <w:r>
        <w:rPr>
          <w:rFonts w:hint="default" w:eastAsia="等线"/>
          <w:lang w:val="en-US" w:eastAsia="zh-CN"/>
        </w:rPr>
        <w:t>’</w:t>
      </w:r>
      <w:r>
        <w:rPr>
          <w:rFonts w:hint="eastAsia" w:eastAsia="等线"/>
          <w:lang w:val="en-US" w:eastAsia="zh-CN"/>
        </w:rPr>
        <w:t xml:space="preserve">t send F1 setup request to target donor CU of mobile IAB-MT. It is doubtful how the target donor CU of mobile IAB-MT be aware of the PCI collision of mobile IAB-DU. In our opinion, this issue can be solved if there is Xn connection between the F1-terminating donor CU and target donor CU. To be specific, the F1-terminating donor CU can be aware of PCIs of serving cells and neighbour cells of the target donor CU via existing XnAP signaling, e.g., </w:t>
      </w:r>
      <w:r>
        <w:t>X</w:t>
      </w:r>
      <w:r>
        <w:rPr>
          <w:rFonts w:hint="eastAsia"/>
          <w:lang w:val="en-US" w:eastAsia="zh-CN"/>
        </w:rPr>
        <w:t>n</w:t>
      </w:r>
      <w:r>
        <w:t xml:space="preserve"> SETUP</w:t>
      </w:r>
      <w:r>
        <w:rPr>
          <w:rFonts w:hint="eastAsia"/>
          <w:lang w:val="en-US" w:eastAsia="zh-CN"/>
        </w:rPr>
        <w:t>/NG-RAN NODE CONFIGURATION UPDATE</w:t>
      </w:r>
      <w:r>
        <w:rPr>
          <w:rFonts w:hint="eastAsia" w:eastAsia="等线"/>
          <w:lang w:val="en-US" w:eastAsia="zh-CN"/>
        </w:rPr>
        <w:t>. Thus F1-terminating donor CU can detect potential PCI collision and then reconfigure the PCI for mobile IAB-DU</w:t>
      </w:r>
      <w:r>
        <w:rPr>
          <w:rFonts w:hint="default" w:eastAsia="等线"/>
          <w:lang w:val="en-US" w:eastAsia="zh-CN"/>
        </w:rPr>
        <w:t>’</w:t>
      </w:r>
      <w:r>
        <w:rPr>
          <w:rFonts w:hint="eastAsia" w:eastAsia="等线"/>
          <w:lang w:val="en-US" w:eastAsia="zh-CN"/>
        </w:rPr>
        <w:t xml:space="preserve">s cell when necessary. However, if the Xn connection is not available, it is hard for the F1-terminating donor CU to be aware of the PCI collision. On the other hand, the PCI reconfiguration after the F1 connection SETUP or </w:t>
      </w:r>
      <w:r>
        <w:rPr>
          <w:rFonts w:hint="eastAsia"/>
          <w:lang w:val="en-US" w:eastAsia="zh-CN"/>
        </w:rPr>
        <w:t>NG-RAN node CONFIGURATION UPDATE</w:t>
      </w:r>
      <w:r>
        <w:rPr>
          <w:rFonts w:hint="eastAsia" w:eastAsia="等线"/>
          <w:lang w:val="en-US" w:eastAsia="zh-CN"/>
        </w:rPr>
        <w:t xml:space="preserve"> may lead to longer latency and cause interference to neighbor cells.  </w:t>
      </w:r>
    </w:p>
    <w:p>
      <w:pPr>
        <w:numPr>
          <w:ilvl w:val="-1"/>
          <w:numId w:val="0"/>
        </w:numPr>
        <w:jc w:val="both"/>
        <w:rPr>
          <w:rFonts w:hint="eastAsia"/>
          <w:color w:val="auto"/>
          <w:highlight w:val="none"/>
          <w:lang w:val="en-US" w:eastAsia="zh-CN"/>
        </w:rPr>
      </w:pPr>
      <w:r>
        <w:rPr>
          <w:rFonts w:hint="eastAsia" w:eastAsia="等线"/>
          <w:lang w:val="en-US" w:eastAsia="zh-CN"/>
        </w:rPr>
        <w:t xml:space="preserve">Based on the above analysis, it is suggested that the new PCI be reconfigured as soon as possible once the potential collision may happen. To be specific, </w:t>
      </w:r>
      <w:r>
        <w:rPr>
          <w:rFonts w:hint="eastAsia"/>
          <w:color w:val="auto"/>
          <w:highlight w:val="none"/>
          <w:lang w:val="en-US" w:eastAsia="zh-CN"/>
        </w:rPr>
        <w:t>the PCI used by mobile IAB DU</w:t>
      </w:r>
      <w:r>
        <w:rPr>
          <w:rFonts w:hint="default"/>
          <w:color w:val="auto"/>
          <w:highlight w:val="none"/>
          <w:lang w:val="en-US" w:eastAsia="zh-CN"/>
        </w:rPr>
        <w:t>’</w:t>
      </w:r>
      <w:r>
        <w:rPr>
          <w:rFonts w:hint="eastAsia"/>
          <w:color w:val="auto"/>
          <w:highlight w:val="none"/>
          <w:lang w:val="en-US" w:eastAsia="zh-CN"/>
        </w:rPr>
        <w:t>s cells may be sent by source donor CU to the target donor CU during HO preparation phase of co-located mobile IAB-MT. If the target donor CU receives the PCI of mobile IAB DU</w:t>
      </w:r>
      <w:r>
        <w:rPr>
          <w:rFonts w:hint="default"/>
          <w:color w:val="auto"/>
          <w:highlight w:val="none"/>
          <w:lang w:val="en-US" w:eastAsia="zh-CN"/>
        </w:rPr>
        <w:t>’</w:t>
      </w:r>
      <w:r>
        <w:rPr>
          <w:rFonts w:hint="eastAsia"/>
          <w:color w:val="auto"/>
          <w:highlight w:val="none"/>
          <w:lang w:val="en-US" w:eastAsia="zh-CN"/>
        </w:rPr>
        <w:t>s cells and detects PCI collision, the target donor CU may re-assign the PCI for the mobile IAB-DU</w:t>
      </w:r>
      <w:r>
        <w:rPr>
          <w:rFonts w:hint="default"/>
          <w:color w:val="auto"/>
          <w:highlight w:val="none"/>
          <w:lang w:val="en-US" w:eastAsia="zh-CN"/>
        </w:rPr>
        <w:t>’</w:t>
      </w:r>
      <w:r>
        <w:rPr>
          <w:rFonts w:hint="eastAsia"/>
          <w:color w:val="auto"/>
          <w:highlight w:val="none"/>
          <w:lang w:val="en-US" w:eastAsia="zh-CN"/>
        </w:rPr>
        <w:t xml:space="preserve">s cells and send it to source donor CU. Upon receiving the Reconfigurationwithsync from source donor CU, the mobile IAB-MT deliver the new PCI configuration of mobile IAB cells to the co-located mobile IAB-DU, which will then broadcast the update of PCI via system information.  </w:t>
      </w:r>
    </w:p>
    <w:p>
      <w:pPr>
        <w:jc w:val="both"/>
        <w:rPr>
          <w:rFonts w:hint="default"/>
          <w:lang w:val="en-US" w:eastAsia="zh-CN"/>
        </w:rPr>
      </w:pPr>
      <w:r>
        <w:rPr>
          <w:rFonts w:hint="eastAsia" w:eastAsia="等线"/>
          <w:b/>
          <w:bCs/>
          <w:lang w:val="en-US" w:eastAsia="zh-CN"/>
        </w:rPr>
        <w:t>Proposal 7: RAN2 to consider the PCI re-assignment for mobile IAB-DU</w:t>
      </w:r>
      <w:r>
        <w:rPr>
          <w:rFonts w:hint="default" w:eastAsia="等线"/>
          <w:b/>
          <w:bCs/>
          <w:lang w:val="en-US" w:eastAsia="zh-CN"/>
        </w:rPr>
        <w:t>’</w:t>
      </w:r>
      <w:r>
        <w:rPr>
          <w:rFonts w:hint="eastAsia" w:eastAsia="等线"/>
          <w:b/>
          <w:bCs/>
          <w:lang w:val="en-US" w:eastAsia="zh-CN"/>
        </w:rPr>
        <w:t>s cell during the HO preparation phase of co-located mobile IAB-MT.</w:t>
      </w:r>
    </w:p>
    <w:p>
      <w:pPr>
        <w:pStyle w:val="4"/>
        <w:bidi w:val="0"/>
        <w:rPr>
          <w:rFonts w:hint="eastAsia"/>
          <w:lang w:val="en-US" w:eastAsia="zh-CN"/>
        </w:rPr>
      </w:pPr>
      <w:r>
        <w:rPr>
          <w:rFonts w:hint="eastAsia"/>
          <w:lang w:val="en-US" w:eastAsia="zh-CN"/>
        </w:rPr>
        <w:t xml:space="preserve">RACH configuration </w:t>
      </w:r>
    </w:p>
    <w:p>
      <w:pPr>
        <w:jc w:val="both"/>
        <w:rPr>
          <w:rFonts w:hint="default" w:ascii="Times New Roman" w:hAnsi="Times New Roman" w:cs="Times New Roman"/>
          <w:highlight w:val="none"/>
          <w:lang w:val="en-US" w:eastAsia="zh-CN"/>
        </w:rPr>
      </w:pPr>
      <w:r>
        <w:rPr>
          <w:rFonts w:hint="default" w:ascii="Times New Roman" w:hAnsi="Times New Roman" w:eastAsia="Batang" w:cs="Times New Roman"/>
          <w:highlight w:val="none"/>
          <w:lang w:val="en-US" w:eastAsia="zh-CN"/>
        </w:rPr>
        <w:t xml:space="preserve">As we know, RAN2 has agreed that RAN2 may discuss whether there is a problem of RACH configuration collision between mobile IAB and stationary network from RAN2 perspective and/or whether RAN2 should ask RAN1 to consider RAN1-related aspects. </w:t>
      </w:r>
    </w:p>
    <w:p>
      <w:pPr>
        <w:jc w:val="both"/>
        <w:rPr>
          <w:highlight w:val="none"/>
        </w:rPr>
      </w:pPr>
      <w:r>
        <w:rPr>
          <w:rFonts w:hint="eastAsia"/>
          <w:highlight w:val="none"/>
          <w:lang w:val="en-US" w:eastAsia="zh-CN"/>
        </w:rPr>
        <w:t xml:space="preserve">According to the legacy specification, </w:t>
      </w:r>
      <w:r>
        <w:rPr>
          <w:highlight w:val="none"/>
          <w:lang w:eastAsia="zh-CN"/>
        </w:rPr>
        <w:t>RACH optimization is supported by UE reported information</w:t>
      </w:r>
      <w:r>
        <w:rPr>
          <w:rFonts w:hint="eastAsia"/>
          <w:highlight w:val="none"/>
          <w:lang w:val="en-US" w:eastAsia="zh-CN"/>
        </w:rPr>
        <w:t xml:space="preserve"> </w:t>
      </w:r>
      <w:r>
        <w:rPr>
          <w:highlight w:val="none"/>
          <w:lang w:eastAsia="zh-CN"/>
        </w:rPr>
        <w:t>made available at the NG RAN node and by PRACH parameters exchange between NG RAN nodes.</w:t>
      </w:r>
      <w:r>
        <w:rPr>
          <w:rFonts w:hint="eastAsia"/>
          <w:highlight w:val="none"/>
          <w:lang w:val="en-US" w:eastAsia="zh-CN"/>
        </w:rPr>
        <w:t xml:space="preserve"> </w:t>
      </w:r>
      <w:r>
        <w:rPr>
          <w:lang w:eastAsia="zh-CN"/>
        </w:rPr>
        <w:t>In case of split gNB architecture, RACH configuration conflict detection and resolution function is located at the gNB-</w:t>
      </w:r>
      <w:r>
        <w:rPr>
          <w:highlight w:val="none"/>
          <w:lang w:eastAsia="zh-CN"/>
        </w:rPr>
        <w:t xml:space="preserve">DU. </w:t>
      </w:r>
      <w:r>
        <w:rPr>
          <w:rFonts w:hint="eastAsia"/>
          <w:highlight w:val="none"/>
          <w:lang w:val="en-US" w:eastAsia="zh-CN"/>
        </w:rPr>
        <w:t>To be specific,</w:t>
      </w:r>
      <w:r>
        <w:rPr>
          <w:highlight w:val="none"/>
          <w:lang w:eastAsia="zh-CN"/>
        </w:rPr>
        <w:t xml:space="preserve"> </w:t>
      </w:r>
      <w:r>
        <w:rPr>
          <w:highlight w:val="none"/>
        </w:rPr>
        <w:t xml:space="preserve"> </w:t>
      </w:r>
      <w:r>
        <w:rPr>
          <w:rFonts w:hint="eastAsia"/>
          <w:highlight w:val="none"/>
          <w:lang w:val="en-US" w:eastAsia="zh-CN"/>
        </w:rPr>
        <w:t>t</w:t>
      </w:r>
      <w:r>
        <w:rPr>
          <w:highlight w:val="none"/>
          <w:lang w:eastAsia="zh-CN"/>
        </w:rPr>
        <w:t xml:space="preserve">he gNB-DU signals the PRACH configuration per-cell to gNB-CU. </w:t>
      </w:r>
      <w:r>
        <w:rPr>
          <w:rFonts w:hint="eastAsia"/>
          <w:highlight w:val="none"/>
          <w:lang w:val="en-US" w:eastAsia="zh-CN"/>
        </w:rPr>
        <w:t xml:space="preserve">The </w:t>
      </w:r>
      <w:r>
        <w:rPr>
          <w:highlight w:val="none"/>
          <w:lang w:eastAsia="zh-CN"/>
        </w:rPr>
        <w:t xml:space="preserve">gNB-CU sends the RACH report reported by the UE to gNB-DU </w:t>
      </w:r>
      <w:r>
        <w:rPr>
          <w:highlight w:val="none"/>
        </w:rPr>
        <w:t>via F1AP signalling.</w:t>
      </w:r>
      <w:r>
        <w:rPr>
          <w:rFonts w:hint="eastAsia"/>
          <w:highlight w:val="none"/>
          <w:lang w:val="en-US" w:eastAsia="zh-CN"/>
        </w:rPr>
        <w:t xml:space="preserve"> </w:t>
      </w:r>
      <w:r>
        <w:rPr>
          <w:highlight w:val="none"/>
        </w:rPr>
        <w:t xml:space="preserve">The gNB-CU may </w:t>
      </w:r>
      <w:r>
        <w:rPr>
          <w:rFonts w:hint="eastAsia"/>
          <w:highlight w:val="none"/>
          <w:lang w:val="en-US" w:eastAsia="zh-CN"/>
        </w:rPr>
        <w:t xml:space="preserve">also </w:t>
      </w:r>
      <w:r>
        <w:rPr>
          <w:highlight w:val="none"/>
        </w:rPr>
        <w:t xml:space="preserve">forward </w:t>
      </w:r>
      <w:r>
        <w:rPr>
          <w:highlight w:val="none"/>
          <w:lang w:eastAsia="zh-CN"/>
        </w:rPr>
        <w:t>a</w:t>
      </w:r>
      <w:r>
        <w:rPr>
          <w:highlight w:val="none"/>
        </w:rPr>
        <w:t xml:space="preserve"> </w:t>
      </w:r>
      <w:r>
        <w:rPr>
          <w:highlight w:val="none"/>
          <w:lang w:eastAsia="zh-CN"/>
        </w:rPr>
        <w:t xml:space="preserve">limited set of </w:t>
      </w:r>
      <w:r>
        <w:rPr>
          <w:highlight w:val="none"/>
        </w:rPr>
        <w:t>neighbour cell’s PRACH configurations receiv</w:t>
      </w:r>
      <w:r>
        <w:rPr>
          <w:highlight w:val="none"/>
          <w:lang w:eastAsia="zh-CN"/>
        </w:rPr>
        <w:t>ed</w:t>
      </w:r>
      <w:r>
        <w:rPr>
          <w:highlight w:val="none"/>
        </w:rPr>
        <w:t xml:space="preserve"> from neighbour </w:t>
      </w:r>
      <w:r>
        <w:rPr>
          <w:highlight w:val="none"/>
          <w:lang w:eastAsia="zh-CN"/>
        </w:rPr>
        <w:t>gNB-CU</w:t>
      </w:r>
      <w:r>
        <w:rPr>
          <w:highlight w:val="none"/>
        </w:rPr>
        <w:t xml:space="preserve"> to the gNB-DU</w:t>
      </w:r>
      <w:r>
        <w:rPr>
          <w:highlight w:val="none"/>
          <w:lang w:eastAsia="zh-CN"/>
        </w:rPr>
        <w:t xml:space="preserve"> to resolve the configuration conflict</w:t>
      </w:r>
      <w:r>
        <w:rPr>
          <w:highlight w:val="none"/>
        </w:rPr>
        <w:t>.</w:t>
      </w:r>
    </w:p>
    <w:p>
      <w:pPr>
        <w:jc w:val="both"/>
        <w:rPr>
          <w:rFonts w:hint="eastAsia"/>
          <w:highlight w:val="none"/>
          <w:lang w:val="en-US" w:eastAsia="zh-CN"/>
        </w:rPr>
      </w:pPr>
      <w:r>
        <w:rPr>
          <w:rFonts w:hint="eastAsia"/>
          <w:highlight w:val="none"/>
          <w:lang w:val="en-US" w:eastAsia="zh-CN"/>
        </w:rPr>
        <w:t>When it comes to the mobile IAB scenario, the RACH configuration of mobile IAB-DU</w:t>
      </w:r>
      <w:r>
        <w:rPr>
          <w:rFonts w:hint="default"/>
          <w:highlight w:val="none"/>
          <w:lang w:val="en-US" w:eastAsia="zh-CN"/>
        </w:rPr>
        <w:t>’</w:t>
      </w:r>
      <w:r>
        <w:rPr>
          <w:rFonts w:hint="eastAsia"/>
          <w:highlight w:val="none"/>
          <w:lang w:val="en-US" w:eastAsia="zh-CN"/>
        </w:rPr>
        <w:t>s cell may conflict with the neighboring non-mobile IAB cells. It is likely to reuse the existing approach to resolve the RACH configuration collision. For example, after the mobile IAB-MT handover to target donor CU and the co-located mobile IAB-DU setup the F1 connection with the target donor CU, the mobile IAB-DU may send the RACH configuration of its served cell to target donor CU. If the target donor CU detects RACH configuration conflict, target donor CU may then send the RACH configuration of neighboring cells to mobile IAB-DU, which may trigger the mobile IAB-DU not to use the conflict resource.</w:t>
      </w:r>
    </w:p>
    <w:p>
      <w:pPr>
        <w:numPr>
          <w:ilvl w:val="0"/>
          <w:numId w:val="0"/>
        </w:numPr>
        <w:jc w:val="both"/>
        <w:rPr>
          <w:rFonts w:hint="eastAsia"/>
          <w:highlight w:val="none"/>
          <w:lang w:val="en-US" w:eastAsia="zh-CN"/>
        </w:rPr>
      </w:pPr>
      <w:r>
        <w:rPr>
          <w:rFonts w:hint="eastAsia"/>
          <w:highlight w:val="none"/>
          <w:lang w:val="en-US" w:eastAsia="zh-CN"/>
        </w:rPr>
        <w:t xml:space="preserve">Moreover, it is possible for the target donor CU to reconfigure the RACH for mobile IAB-DU during the HO preparation phase of mobile IAB-MT. To be specific, the source donor CU may send the RACH configuration of mobile IAB-DU to target donor CU and target donor CU may send the updated RACH configuration of mobile IAB-DU to mobile IAB-MT via the reconfigurationwithsync message. Upon receiving such configuration, the co-located mobile IAB-DU may use the updated RACH configuration. </w:t>
      </w:r>
    </w:p>
    <w:p>
      <w:pPr>
        <w:jc w:val="both"/>
        <w:rPr>
          <w:rFonts w:hint="eastAsia" w:eastAsia="等线"/>
          <w:b/>
          <w:bCs/>
          <w:lang w:val="en-US" w:eastAsia="zh-CN"/>
        </w:rPr>
      </w:pPr>
      <w:r>
        <w:rPr>
          <w:rFonts w:hint="eastAsia"/>
          <w:b/>
          <w:bCs/>
          <w:lang w:val="en-US" w:eastAsia="zh-CN"/>
        </w:rPr>
        <w:t xml:space="preserve">Proposal 8: </w:t>
      </w:r>
      <w:r>
        <w:rPr>
          <w:rFonts w:hint="eastAsia" w:eastAsia="等线"/>
          <w:b/>
          <w:bCs/>
          <w:lang w:val="en-US" w:eastAsia="zh-CN"/>
        </w:rPr>
        <w:t>RAN2 to consider the RACH reconfiguration for mobile IAB-DU</w:t>
      </w:r>
      <w:r>
        <w:rPr>
          <w:rFonts w:hint="default" w:eastAsia="等线"/>
          <w:b/>
          <w:bCs/>
          <w:lang w:val="en-US" w:eastAsia="zh-CN"/>
        </w:rPr>
        <w:t>’</w:t>
      </w:r>
      <w:r>
        <w:rPr>
          <w:rFonts w:hint="eastAsia" w:eastAsia="等线"/>
          <w:b/>
          <w:bCs/>
          <w:lang w:val="en-US" w:eastAsia="zh-CN"/>
        </w:rPr>
        <w:t>s cell during the HO preparation phase of co-located mobile IAB-MT.</w:t>
      </w:r>
    </w:p>
    <w:p>
      <w:pPr>
        <w:pStyle w:val="4"/>
        <w:bidi w:val="0"/>
        <w:rPr>
          <w:rFonts w:hint="eastAsia"/>
          <w:lang w:val="en-US" w:eastAsia="zh-CN"/>
        </w:rPr>
      </w:pPr>
      <w:r>
        <w:rPr>
          <w:rFonts w:hint="eastAsia"/>
          <w:lang w:val="en-US" w:eastAsia="zh-CN"/>
        </w:rPr>
        <w:t>TA configuration</w:t>
      </w:r>
    </w:p>
    <w:p>
      <w:pPr>
        <w:overflowPunct w:val="0"/>
        <w:autoSpaceDE w:val="0"/>
        <w:autoSpaceDN w:val="0"/>
        <w:adjustRightInd w:val="0"/>
        <w:spacing w:before="156" w:beforeLines="50"/>
        <w:jc w:val="both"/>
        <w:rPr>
          <w:lang w:eastAsia="zh-CN"/>
        </w:rPr>
      </w:pPr>
      <w:r>
        <w:rPr>
          <w:rFonts w:hint="eastAsia"/>
          <w:lang w:val="en-US" w:eastAsia="zh-CN"/>
        </w:rPr>
        <w:t xml:space="preserve"> </w:t>
      </w:r>
      <w:r>
        <w:rPr>
          <w:rFonts w:hint="eastAsia" w:ascii="Times New Roman" w:hAnsi="Times New Roman" w:cs="Times New Roman"/>
          <w:lang w:val="en-US" w:eastAsia="zh-CN"/>
        </w:rPr>
        <w:t xml:space="preserve">As far as we know, the RRC_IDLE state is introduced for power saving purpose of UE. To be specific, </w:t>
      </w:r>
      <w:r>
        <w:rPr>
          <w:rFonts w:hint="eastAsia"/>
          <w:lang w:val="en-US" w:eastAsia="zh-CN"/>
        </w:rPr>
        <w:t xml:space="preserve">the RRC_IDLE UE does not need to perform HO when it moves across different cells. Instead, it only need to perform periodic Tracking Area Update (TAU) and event-triggered TAU </w:t>
      </w:r>
      <w:r>
        <w:t>when accessing a radio cell where none of the supported TA</w:t>
      </w:r>
      <w:r>
        <w:rPr>
          <w:rFonts w:hint="eastAsia"/>
          <w:lang w:val="en-US" w:eastAsia="zh-CN"/>
        </w:rPr>
        <w:t>I</w:t>
      </w:r>
      <w:r>
        <w:t xml:space="preserve"> </w:t>
      </w:r>
      <w:r>
        <w:rPr>
          <w:highlight w:val="none"/>
        </w:rPr>
        <w:t xml:space="preserve">is </w:t>
      </w:r>
      <w:r>
        <w:rPr>
          <w:rFonts w:hint="eastAsia"/>
          <w:highlight w:val="none"/>
          <w:lang w:val="en-US" w:eastAsia="zh-CN"/>
        </w:rPr>
        <w:t>within</w:t>
      </w:r>
      <w:r>
        <w:rPr>
          <w:highlight w:val="none"/>
        </w:rPr>
        <w:t xml:space="preserve"> the list of TAIs that the</w:t>
      </w:r>
      <w:r>
        <w:rPr>
          <w:rFonts w:hint="eastAsia"/>
          <w:highlight w:val="none"/>
          <w:lang w:val="en-US" w:eastAsia="zh-CN"/>
        </w:rPr>
        <w:t xml:space="preserve"> UE</w:t>
      </w:r>
      <w:r>
        <w:rPr>
          <w:highlight w:val="none"/>
        </w:rPr>
        <w:t xml:space="preserve"> has </w:t>
      </w:r>
      <w:r>
        <w:rPr>
          <w:rFonts w:hint="eastAsia"/>
          <w:highlight w:val="none"/>
          <w:lang w:val="en-US" w:eastAsia="zh-CN"/>
        </w:rPr>
        <w:t>been configured</w:t>
      </w:r>
      <w:r>
        <w:rPr>
          <w:rFonts w:hint="eastAsia"/>
          <w:lang w:val="en-US" w:eastAsia="zh-CN"/>
        </w:rPr>
        <w:t xml:space="preserve">. </w:t>
      </w:r>
      <w:r>
        <w:rPr>
          <w:rFonts w:hint="eastAsia" w:ascii="Times New Roman" w:hAnsi="Times New Roman" w:cs="Times New Roman"/>
          <w:lang w:val="en-US" w:eastAsia="zh-CN"/>
        </w:rPr>
        <w:t xml:space="preserve">With it comes to </w:t>
      </w:r>
      <w:r>
        <w:rPr>
          <w:rFonts w:hint="eastAsia"/>
          <w:lang w:val="en-US" w:eastAsia="zh-CN"/>
        </w:rPr>
        <w:t>the mobile IAB scenario, the mobile IAB node moves together with the vehicles, which may be across different TAs.</w:t>
      </w:r>
      <w:r>
        <w:rPr>
          <w:rFonts w:hint="eastAsia"/>
          <w:sz w:val="20"/>
          <w:szCs w:val="20"/>
          <w:lang w:val="en-US" w:eastAsia="zh-CN"/>
        </w:rPr>
        <w:t xml:space="preserve"> </w:t>
      </w:r>
      <w:r>
        <w:rPr>
          <w:rFonts w:hint="eastAsia" w:cs="Times New Roman"/>
          <w:sz w:val="20"/>
          <w:szCs w:val="20"/>
          <w:lang w:val="en-US" w:eastAsia="zh-CN"/>
        </w:rPr>
        <w:t>The T</w:t>
      </w:r>
      <w:r>
        <w:rPr>
          <w:rFonts w:hint="default" w:ascii="Times New Roman" w:hAnsi="Times New Roman" w:eastAsia="Dutch801BT-Roman" w:cs="Times New Roman"/>
          <w:sz w:val="20"/>
          <w:szCs w:val="20"/>
        </w:rPr>
        <w:t>AU</w:t>
      </w:r>
      <w:r>
        <w:rPr>
          <w:rFonts w:hint="eastAsia" w:ascii="Times New Roman" w:hAnsi="Times New Roman" w:cs="Times New Roman"/>
          <w:sz w:val="20"/>
          <w:szCs w:val="20"/>
          <w:lang w:val="en-US" w:eastAsia="zh-CN"/>
        </w:rPr>
        <w:t xml:space="preserve"> </w:t>
      </w:r>
      <w:r>
        <w:rPr>
          <w:rFonts w:hint="default" w:ascii="Times New Roman" w:hAnsi="Times New Roman" w:eastAsia="Dutch801BT-Roman" w:cs="Times New Roman"/>
          <w:sz w:val="20"/>
          <w:szCs w:val="20"/>
        </w:rPr>
        <w:t xml:space="preserve">in mobile </w:t>
      </w:r>
      <w:r>
        <w:rPr>
          <w:rFonts w:hint="eastAsia" w:cs="Times New Roman"/>
          <w:sz w:val="20"/>
          <w:szCs w:val="20"/>
          <w:lang w:val="en-US" w:eastAsia="zh-CN"/>
        </w:rPr>
        <w:t>IAB</w:t>
      </w:r>
      <w:r>
        <w:rPr>
          <w:rFonts w:hint="default" w:ascii="Times New Roman" w:hAnsi="Times New Roman" w:eastAsia="Dutch801BT-Roman" w:cs="Times New Roman"/>
          <w:sz w:val="20"/>
          <w:szCs w:val="20"/>
        </w:rPr>
        <w:t xml:space="preserve"> scenario ha</w:t>
      </w:r>
      <w:r>
        <w:rPr>
          <w:rFonts w:hint="eastAsia" w:ascii="Times New Roman" w:hAnsi="Times New Roman" w:cs="Times New Roman"/>
          <w:sz w:val="20"/>
          <w:szCs w:val="20"/>
          <w:lang w:val="en-US" w:eastAsia="zh-CN"/>
        </w:rPr>
        <w:t>ve</w:t>
      </w:r>
      <w:r>
        <w:rPr>
          <w:rFonts w:hint="eastAsia" w:cs="Times New Roman"/>
          <w:sz w:val="20"/>
          <w:szCs w:val="20"/>
          <w:lang w:val="en-US" w:eastAsia="zh-CN"/>
        </w:rPr>
        <w:t xml:space="preserve"> to </w:t>
      </w:r>
      <w:r>
        <w:rPr>
          <w:rFonts w:hint="default" w:ascii="Times New Roman" w:hAnsi="Times New Roman" w:eastAsia="Dutch801BT-Roman" w:cs="Times New Roman"/>
          <w:sz w:val="20"/>
          <w:szCs w:val="20"/>
        </w:rPr>
        <w:t>deal with a large group of UEs</w:t>
      </w:r>
      <w:r>
        <w:rPr>
          <w:rFonts w:hint="eastAsia" w:ascii="Times New Roman" w:hAnsi="Times New Roman" w:cs="Times New Roman"/>
          <w:sz w:val="20"/>
          <w:szCs w:val="20"/>
          <w:lang w:val="en-US" w:eastAsia="zh-CN"/>
        </w:rPr>
        <w:t xml:space="preserve"> on the vehicles</w:t>
      </w:r>
      <w:r>
        <w:rPr>
          <w:rFonts w:hint="default" w:ascii="Times New Roman" w:hAnsi="Times New Roman" w:eastAsia="Dutch801BT-Roman" w:cs="Times New Roman"/>
          <w:sz w:val="20"/>
          <w:szCs w:val="20"/>
        </w:rPr>
        <w:t xml:space="preserve"> and should be</w:t>
      </w:r>
      <w:r>
        <w:rPr>
          <w:rFonts w:hint="eastAsia" w:cs="Times New Roman"/>
          <w:sz w:val="20"/>
          <w:szCs w:val="20"/>
          <w:lang w:val="en-US" w:eastAsia="zh-CN"/>
        </w:rPr>
        <w:t xml:space="preserve"> avoided</w:t>
      </w:r>
      <w:r>
        <w:rPr>
          <w:rFonts w:hint="default" w:ascii="Times New Roman" w:hAnsi="Times New Roman" w:eastAsia="Dutch801BT-Roman" w:cs="Times New Roman"/>
          <w:sz w:val="20"/>
          <w:szCs w:val="20"/>
        </w:rPr>
        <w:t>.</w:t>
      </w:r>
    </w:p>
    <w:p>
      <w:pPr>
        <w:jc w:val="both"/>
        <w:rPr>
          <w:rFonts w:hint="eastAsia" w:eastAsia="宋体"/>
          <w:lang w:val="en-US" w:eastAsia="zh-CN"/>
        </w:rPr>
      </w:pPr>
      <w:r>
        <w:rPr>
          <w:rFonts w:hint="eastAsia"/>
          <w:lang w:val="en-US" w:eastAsia="zh-CN"/>
        </w:rPr>
        <w:t xml:space="preserve">The TA configuration of mobile IAB has been discussed in SA2. An LS (R3-225317) sent by SA2 asks RAN2 </w:t>
      </w:r>
      <w:r>
        <w:t>if the MBSR, i.e. mobile-IAB node, would keep the same TAC, and Cell ID, when it changes serving donor gNB</w:t>
      </w:r>
      <w:r>
        <w:rPr>
          <w:rFonts w:hint="eastAsia"/>
          <w:lang w:val="en-US" w:eastAsia="zh-CN"/>
        </w:rPr>
        <w:t>.</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hint="eastAsia"/>
                <w:vertAlign w:val="baseline"/>
                <w:lang w:val="en-US" w:eastAsia="zh-CN"/>
              </w:rPr>
            </w:pPr>
            <w:r>
              <w:t>With regard to Key Issue#3 (as defined in clause 5.3), SA2 would like to understand if the MBSR, i.e. mobile-IAB node, would keep the same TAC, and Cell ID, when it changes serving donor gNB. SA2 has documented different solutions based on different options and needs RAN2 and RAN3 feedbacks for down selection.</w:t>
            </w:r>
          </w:p>
        </w:tc>
      </w:tr>
    </w:tbl>
    <w:p>
      <w:pPr>
        <w:keepNext w:val="0"/>
        <w:keepLines w:val="0"/>
        <w:pageBreakBefore w:val="0"/>
        <w:widowControl/>
        <w:kinsoku/>
        <w:wordWrap/>
        <w:overflowPunct/>
        <w:topLinePunct w:val="0"/>
        <w:autoSpaceDE/>
        <w:autoSpaceDN/>
        <w:bidi w:val="0"/>
        <w:adjustRightInd/>
        <w:snapToGrid/>
        <w:spacing w:before="157" w:beforeLines="50"/>
        <w:textAlignment w:val="auto"/>
        <w:rPr>
          <w:rFonts w:hint="default"/>
          <w:lang w:val="en-US" w:eastAsia="zh-CN"/>
        </w:rPr>
      </w:pPr>
      <w:r>
        <w:rPr>
          <w:rFonts w:hint="eastAsia"/>
          <w:lang w:val="en-US" w:eastAsia="zh-CN"/>
        </w:rPr>
        <w:t>According to the TR 23.700, the potential solutions for TA configuration are summarized as follows: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pStyle w:val="119"/>
              <w:rPr>
                <w:rFonts w:eastAsia="等线"/>
                <w:lang w:eastAsia="ko-KR"/>
              </w:rPr>
            </w:pPr>
            <w:r>
              <w:rPr>
                <w:rFonts w:eastAsia="等线"/>
                <w:lang w:eastAsia="zh-CN"/>
              </w:rPr>
              <w:t>-</w:t>
            </w:r>
            <w:r>
              <w:rPr>
                <w:rFonts w:eastAsia="等线"/>
                <w:lang w:eastAsia="zh-CN"/>
              </w:rPr>
              <w:tab/>
            </w:r>
            <w:r>
              <w:rPr>
                <w:rFonts w:eastAsia="等线"/>
                <w:lang w:eastAsia="zh-CN"/>
              </w:rPr>
              <w:t>Solution #4</w:t>
            </w:r>
            <w:r>
              <w:rPr>
                <w:rFonts w:hint="eastAsia" w:eastAsia="等线"/>
                <w:lang w:val="en-US" w:eastAsia="zh-CN"/>
              </w:rPr>
              <w:t>:</w:t>
            </w:r>
            <w:r>
              <w:rPr>
                <w:rFonts w:eastAsia="等线"/>
                <w:lang w:eastAsia="zh-CN"/>
              </w:rPr>
              <w:t xml:space="preserve"> Solution #4 </w:t>
            </w:r>
            <w:r>
              <w:rPr>
                <w:lang w:eastAsia="zh-CN"/>
              </w:rPr>
              <w:t xml:space="preserve">assumes that the </w:t>
            </w:r>
            <w:r>
              <w:rPr>
                <w:rFonts w:eastAsia="等线"/>
                <w:highlight w:val="none"/>
                <w:lang w:eastAsia="ko-KR"/>
              </w:rPr>
              <w:t>TACs allowed to be broadcasted by the Mobile Base Station Relay (MBSR) are pre-configured, and the gNB-CU is able to instruct the MBSR to broadcast one of them, which can be changed when the gNB-CU changed or determined by the gNB-CU. TACs potentially will be broadcasted by the MBSR are provided to the UE by the AMF of the UE served by the MBSR,</w:t>
            </w:r>
            <w:r>
              <w:rPr>
                <w:rFonts w:eastAsia="等线"/>
                <w:lang w:eastAsia="ko-KR"/>
              </w:rPr>
              <w:t xml:space="preserve"> so that the UEs do not need to perform mobility registration when the MBSR changes TACs.</w:t>
            </w:r>
          </w:p>
          <w:p>
            <w:pPr>
              <w:pStyle w:val="119"/>
              <w:rPr>
                <w:rFonts w:eastAsia="等线"/>
                <w:lang w:eastAsia="zh-CN"/>
              </w:rPr>
            </w:pPr>
            <w:r>
              <w:rPr>
                <w:rFonts w:hint="eastAsia" w:eastAsia="等线"/>
                <w:lang w:val="en-US" w:eastAsia="zh-CN"/>
              </w:rPr>
              <w:t xml:space="preserve">-    </w:t>
            </w:r>
            <w:r>
              <w:rPr>
                <w:rFonts w:eastAsia="等线"/>
                <w:lang w:eastAsia="zh-CN"/>
              </w:rPr>
              <w:t>Solution #16</w:t>
            </w:r>
            <w:r>
              <w:rPr>
                <w:rFonts w:hint="eastAsia" w:eastAsia="等线"/>
                <w:lang w:val="en-US" w:eastAsia="zh-CN"/>
              </w:rPr>
              <w:t>:</w:t>
            </w:r>
            <w:r>
              <w:rPr>
                <w:rFonts w:eastAsia="等线"/>
                <w:lang w:eastAsia="zh-CN"/>
              </w:rPr>
              <w:t xml:space="preserve"> It proposes that the MBSR is configured by the donor gNB to broadcast the TAC of its serving cell. For a UE served by the MBSR, it would observe the TAC change when it moves together with the MBSR across different serving cells, even if it camps on the same MBSR cell. On the other hand, a UE would not be triggered to perform mobility registration when it camps on or leaves the MBSR cell temporarily.</w:t>
            </w:r>
          </w:p>
          <w:p>
            <w:pPr>
              <w:pStyle w:val="119"/>
              <w:rPr>
                <w:rFonts w:hint="eastAsia"/>
                <w:vertAlign w:val="baseline"/>
                <w:lang w:val="en-US" w:eastAsia="zh-CN"/>
              </w:rPr>
            </w:pPr>
            <w:r>
              <w:rPr>
                <w:rFonts w:eastAsia="等线"/>
                <w:lang w:eastAsia="zh-CN"/>
              </w:rPr>
              <w:t>-</w:t>
            </w:r>
            <w:r>
              <w:rPr>
                <w:rFonts w:eastAsia="等线"/>
                <w:lang w:eastAsia="zh-CN"/>
              </w:rPr>
              <w:tab/>
            </w:r>
            <w:r>
              <w:rPr>
                <w:rFonts w:eastAsia="等线"/>
                <w:lang w:eastAsia="zh-CN"/>
              </w:rPr>
              <w:t>Solution #17</w:t>
            </w:r>
            <w:r>
              <w:rPr>
                <w:rFonts w:hint="eastAsia" w:eastAsia="等线"/>
                <w:lang w:val="en-US" w:eastAsia="zh-CN"/>
              </w:rPr>
              <w:t>:</w:t>
            </w:r>
            <w:r>
              <w:rPr>
                <w:rFonts w:eastAsia="等线"/>
                <w:lang w:eastAsia="zh-CN"/>
              </w:rPr>
              <w:t xml:space="preserve"> </w:t>
            </w:r>
            <w:r>
              <w:rPr>
                <w:rFonts w:eastAsia="等线"/>
                <w:highlight w:val="none"/>
                <w:lang w:eastAsia="zh-CN"/>
              </w:rPr>
              <w:t>It proposes that the MBSR uses a dedicated TAC, and the TAC remains the same when MBSR moves across different donor gNBs.</w:t>
            </w:r>
            <w:r>
              <w:rPr>
                <w:rFonts w:eastAsia="等线"/>
                <w:lang w:eastAsia="zh-CN"/>
              </w:rPr>
              <w:t xml:space="preserve"> The donor gNB will add or remove the TAC of the MBSR to UE's AMF(s) when the MBSR connects to leaves it. With this solution, the UE served by MBSR would not perform mobility registration, even when the MBSR changes donor gNBs.</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lang w:val="en-US" w:eastAsia="zh-CN"/>
        </w:rPr>
      </w:pPr>
      <w:r>
        <w:rPr>
          <w:rFonts w:hint="eastAsia"/>
          <w:lang w:val="en-US" w:eastAsia="zh-CN"/>
        </w:rPr>
        <w:t xml:space="preserve">As we can see, Solution#4 and Solution#16 are essentially similar since both requires the change of TAC broadcast by the cells on mobile IAB-DU while Solution#17 uses a dedicated TAC and the TAC remains the same along the movement of mobile IAB node. </w:t>
      </w:r>
    </w:p>
    <w:p>
      <w:pPr>
        <w:overflowPunct w:val="0"/>
        <w:autoSpaceDE w:val="0"/>
        <w:autoSpaceDN w:val="0"/>
        <w:adjustRightInd w:val="0"/>
        <w:spacing w:before="156" w:beforeLines="50"/>
        <w:jc w:val="both"/>
        <w:rPr>
          <w:rFonts w:hint="eastAsia" w:eastAsia="等线"/>
          <w:lang w:val="en-US" w:eastAsia="zh-CN"/>
        </w:rPr>
      </w:pPr>
      <w:r>
        <w:rPr>
          <w:rFonts w:hint="eastAsia"/>
          <w:lang w:val="en-US" w:eastAsia="zh-CN"/>
        </w:rPr>
        <w:t xml:space="preserve">As far as we know, the TA handling of moving cells has been discussed in R17 for NR satellite access. According to TS 23.501, </w:t>
      </w:r>
      <w:r>
        <w:t>the NG-RAN may change the TAC values that are broadcast in a cell's system information as the cell moves</w:t>
      </w:r>
      <w:r>
        <w:rPr>
          <w:rFonts w:hint="eastAsia"/>
          <w:lang w:val="en-US" w:eastAsia="zh-CN"/>
        </w:rPr>
        <w:t xml:space="preserve"> </w:t>
      </w:r>
      <w:r>
        <w:t>in order to ensure that each TA is Earth-stationary</w:t>
      </w:r>
      <w:r>
        <w:rPr>
          <w:rFonts w:hint="eastAsia"/>
          <w:lang w:val="en-US" w:eastAsia="zh-CN"/>
        </w:rPr>
        <w:t xml:space="preserve">. Similarly, it is suggested to leverage the </w:t>
      </w:r>
      <w:r>
        <w:rPr>
          <w:rFonts w:hint="eastAsia"/>
          <w:highlight w:val="none"/>
          <w:lang w:val="en-US" w:eastAsia="zh-CN"/>
        </w:rPr>
        <w:t>tracking area handling of NR satellite access for mobile IAB, i.e . change the TAC values</w:t>
      </w:r>
      <w:r>
        <w:rPr>
          <w:rFonts w:hint="eastAsia"/>
          <w:b w:val="0"/>
          <w:bCs w:val="0"/>
          <w:highlight w:val="none"/>
          <w:lang w:val="en-US" w:eastAsia="zh-CN"/>
        </w:rPr>
        <w:t xml:space="preserve"> </w:t>
      </w:r>
      <w:r>
        <w:rPr>
          <w:b w:val="0"/>
          <w:bCs w:val="0"/>
        </w:rPr>
        <w:t>that are broadcast in a cell's system information as the cell moves</w:t>
      </w:r>
      <w:r>
        <w:rPr>
          <w:rFonts w:hint="eastAsia"/>
          <w:b w:val="0"/>
          <w:bCs w:val="0"/>
          <w:lang w:val="en-US" w:eastAsia="zh-CN"/>
        </w:rPr>
        <w:t xml:space="preserve">. </w:t>
      </w:r>
      <w:r>
        <w:rPr>
          <w:rFonts w:hint="eastAsia"/>
          <w:highlight w:val="none"/>
          <w:lang w:val="en-US" w:eastAsia="zh-CN"/>
        </w:rPr>
        <w:t>On the other hand, AMF may provide the UEs served by the mobile IAB-DU</w:t>
      </w:r>
      <w:r>
        <w:rPr>
          <w:rFonts w:hint="default"/>
          <w:highlight w:val="none"/>
          <w:lang w:val="en-US" w:eastAsia="zh-CN"/>
        </w:rPr>
        <w:t>’</w:t>
      </w:r>
      <w:r>
        <w:rPr>
          <w:rFonts w:hint="eastAsia"/>
          <w:highlight w:val="none"/>
          <w:lang w:val="en-US" w:eastAsia="zh-CN"/>
        </w:rPr>
        <w:t xml:space="preserve">s cell with a list TACs, which potentially will be broadcast by the mobile IAB along the movement. In this way, the UEs served by the mobile IAB </w:t>
      </w:r>
      <w:r>
        <w:rPr>
          <w:rFonts w:eastAsia="等线"/>
          <w:lang w:eastAsia="ko-KR"/>
        </w:rPr>
        <w:t xml:space="preserve">do not need to perform mobility registration when the </w:t>
      </w:r>
      <w:r>
        <w:rPr>
          <w:rFonts w:hint="eastAsia" w:eastAsia="等线"/>
          <w:lang w:val="en-US" w:eastAsia="zh-CN"/>
        </w:rPr>
        <w:t>mobile IAB cell</w:t>
      </w:r>
      <w:r>
        <w:rPr>
          <w:rFonts w:eastAsia="等线"/>
          <w:lang w:eastAsia="ko-KR"/>
        </w:rPr>
        <w:t xml:space="preserve"> changes TACs</w:t>
      </w:r>
      <w:r>
        <w:rPr>
          <w:rFonts w:hint="eastAsia" w:eastAsia="等线"/>
          <w:lang w:val="en-US" w:eastAsia="zh-CN"/>
        </w:rPr>
        <w:t xml:space="preserve">. </w:t>
      </w:r>
    </w:p>
    <w:p>
      <w:pPr>
        <w:jc w:val="both"/>
        <w:rPr>
          <w:rFonts w:hint="default"/>
          <w:b/>
          <w:bCs/>
          <w:lang w:val="en-US" w:eastAsia="zh-CN"/>
        </w:rPr>
      </w:pPr>
      <w:r>
        <w:rPr>
          <w:rFonts w:hint="eastAsia"/>
          <w:b/>
          <w:bCs/>
          <w:lang w:val="en-US" w:eastAsia="zh-CN"/>
        </w:rPr>
        <w:t>Proposal 9: To ensure the</w:t>
      </w:r>
      <w:r>
        <w:rPr>
          <w:b/>
          <w:bCs/>
        </w:rPr>
        <w:t xml:space="preserve"> Earth-stationary</w:t>
      </w:r>
      <w:r>
        <w:rPr>
          <w:rFonts w:hint="eastAsia"/>
          <w:b/>
          <w:bCs/>
          <w:lang w:val="en-US" w:eastAsia="zh-CN"/>
        </w:rPr>
        <w:t xml:space="preserve"> TA concept, it is suggested to leverage the </w:t>
      </w:r>
      <w:r>
        <w:rPr>
          <w:rFonts w:hint="eastAsia"/>
          <w:b/>
          <w:bCs/>
          <w:highlight w:val="none"/>
          <w:lang w:val="en-US" w:eastAsia="zh-CN"/>
        </w:rPr>
        <w:t xml:space="preserve">tracking area handling of NR satellite access for mobile IAB, i.e . change the TAC values </w:t>
      </w:r>
      <w:r>
        <w:rPr>
          <w:b/>
          <w:bCs/>
        </w:rPr>
        <w:t xml:space="preserve">that are broadcast in a </w:t>
      </w:r>
      <w:r>
        <w:rPr>
          <w:rFonts w:hint="eastAsia"/>
          <w:b/>
          <w:bCs/>
          <w:lang w:val="en-US" w:eastAsia="zh-CN"/>
        </w:rPr>
        <w:t xml:space="preserve">mobile IAB </w:t>
      </w:r>
      <w:r>
        <w:rPr>
          <w:b/>
          <w:bCs/>
        </w:rPr>
        <w:t xml:space="preserve">cell's system information as the </w:t>
      </w:r>
      <w:r>
        <w:rPr>
          <w:rFonts w:hint="eastAsia"/>
          <w:b/>
          <w:bCs/>
          <w:lang w:val="en-US" w:eastAsia="zh-CN"/>
        </w:rPr>
        <w:t>mobile IAB</w:t>
      </w:r>
      <w:r>
        <w:rPr>
          <w:b/>
          <w:bCs/>
        </w:rPr>
        <w:t xml:space="preserve"> moves</w:t>
      </w:r>
      <w:r>
        <w:rPr>
          <w:rFonts w:hint="eastAsia"/>
          <w:b/>
          <w:bCs/>
          <w:lang w:val="en-US" w:eastAsia="zh-CN"/>
        </w:rPr>
        <w:t xml:space="preserve">. </w:t>
      </w:r>
    </w:p>
    <w:p>
      <w:pPr>
        <w:pStyle w:val="4"/>
        <w:bidi w:val="0"/>
        <w:rPr>
          <w:rFonts w:hint="eastAsia"/>
          <w:lang w:val="en-US" w:eastAsia="zh-CN"/>
        </w:rPr>
      </w:pPr>
      <w:r>
        <w:rPr>
          <w:rFonts w:hint="eastAsia"/>
          <w:lang w:val="en-US" w:eastAsia="zh-CN"/>
        </w:rPr>
        <w:t>RNA configuration</w:t>
      </w:r>
    </w:p>
    <w:p>
      <w:pPr>
        <w:overflowPunct w:val="0"/>
        <w:autoSpaceDE w:val="0"/>
        <w:autoSpaceDN w:val="0"/>
        <w:adjustRightInd w:val="0"/>
        <w:spacing w:before="156" w:beforeLines="50"/>
        <w:jc w:val="both"/>
        <w:rPr>
          <w:rFonts w:hint="eastAsia"/>
          <w:lang w:val="en-US" w:eastAsia="zh-CN"/>
        </w:rPr>
      </w:pPr>
      <w:r>
        <w:rPr>
          <w:rFonts w:hint="eastAsia"/>
          <w:lang w:val="en-US" w:eastAsia="zh-CN"/>
        </w:rPr>
        <w:t xml:space="preserve">In addition to TA configuration, the RNA(RAN Notification Area) configuration should be discussed in RAN. For NR system, the UE is allowed to enter RRC_INACTIVE state. Before entering the RRC_INACTIVE state, the UE is configured by the last serving gNB with an RNA. The RNA can cover one or multiple cells, and should be </w:t>
      </w:r>
      <w:r>
        <w:rPr>
          <w:highlight w:val="none"/>
        </w:rPr>
        <w:t xml:space="preserve">a subset of </w:t>
      </w:r>
      <w:r>
        <w:rPr>
          <w:rFonts w:hint="eastAsia"/>
          <w:highlight w:val="none"/>
          <w:lang w:val="en-US" w:eastAsia="zh-CN"/>
        </w:rPr>
        <w:t xml:space="preserve">or equal to </w:t>
      </w:r>
      <w:r>
        <w:rPr>
          <w:highlight w:val="none"/>
        </w:rPr>
        <w:t>a CN Tracking Area</w:t>
      </w:r>
      <w:r>
        <w:rPr>
          <w:rFonts w:hint="eastAsia"/>
          <w:highlight w:val="none"/>
          <w:lang w:val="en-US" w:eastAsia="zh-CN"/>
        </w:rPr>
        <w:t xml:space="preserve">. To be specific, the RNA may be configured via a list of cells or a list of RAN Area Code (RANAC) or TAC. The involved cells will </w:t>
      </w:r>
      <w:r>
        <w:rPr>
          <w:highlight w:val="none"/>
        </w:rPr>
        <w:t xml:space="preserve">broadcast one </w:t>
      </w:r>
      <w:r>
        <w:rPr>
          <w:rFonts w:hint="eastAsia"/>
          <w:highlight w:val="none"/>
          <w:lang w:val="en-US" w:eastAsia="zh-CN"/>
        </w:rPr>
        <w:t>RANAC</w:t>
      </w:r>
      <w:r>
        <w:rPr>
          <w:highlight w:val="none"/>
        </w:rPr>
        <w:t xml:space="preserve"> in the </w:t>
      </w:r>
      <w:r>
        <w:rPr>
          <w:rFonts w:hint="eastAsia"/>
          <w:highlight w:val="none"/>
          <w:lang w:val="en-US" w:eastAsia="zh-CN"/>
        </w:rPr>
        <w:t>SIB1 if the RNA is defined via RANAC</w:t>
      </w:r>
      <w:r>
        <w:rPr>
          <w:highlight w:val="none"/>
        </w:rPr>
        <w:t>.</w:t>
      </w:r>
      <w:r>
        <w:rPr>
          <w:rFonts w:hint="eastAsia"/>
          <w:highlight w:val="none"/>
          <w:lang w:val="en-US" w:eastAsia="zh-CN"/>
        </w:rPr>
        <w:t xml:space="preserve"> UE needs to perform RNAU</w:t>
      </w:r>
      <w:r>
        <w:rPr>
          <w:highlight w:val="none"/>
        </w:rPr>
        <w:t xml:space="preserve"> when the UE </w:t>
      </w:r>
      <w:r>
        <w:rPr>
          <w:rFonts w:hint="eastAsia"/>
          <w:highlight w:val="none"/>
          <w:lang w:val="en-US" w:eastAsia="zh-CN"/>
        </w:rPr>
        <w:t>re-</w:t>
      </w:r>
      <w:r>
        <w:rPr>
          <w:highlight w:val="none"/>
        </w:rPr>
        <w:t xml:space="preserve">selects a cell that does not belong to </w:t>
      </w:r>
      <w:r>
        <w:rPr>
          <w:rFonts w:hint="eastAsia"/>
          <w:highlight w:val="none"/>
          <w:lang w:val="en-US" w:eastAsia="zh-CN"/>
        </w:rPr>
        <w:t>its previously</w:t>
      </w:r>
      <w:r>
        <w:rPr>
          <w:highlight w:val="none"/>
        </w:rPr>
        <w:t xml:space="preserve"> configured RNA.</w:t>
      </w:r>
      <w:r>
        <w:rPr>
          <w:rFonts w:hint="eastAsia"/>
          <w:highlight w:val="none"/>
          <w:lang w:val="en-US" w:eastAsia="zh-CN"/>
        </w:rPr>
        <w:t xml:space="preserve"> </w:t>
      </w:r>
      <w:r>
        <w:rPr>
          <w:rFonts w:hint="eastAsia"/>
          <w:lang w:val="en-US" w:eastAsia="zh-CN"/>
        </w:rPr>
        <w:t xml:space="preserve">When UE performs RNAU, it may initiate the RRC connection resumption procedure toward gNB, </w:t>
      </w:r>
      <w:r>
        <w:rPr>
          <w:rFonts w:eastAsia="MS Mincho"/>
        </w:rPr>
        <w:t>providing the I-RNTI allocated by the last serving gNB and appropriate cause value.</w:t>
      </w:r>
      <w:r>
        <w:rPr>
          <w:rFonts w:hint="eastAsia"/>
          <w:lang w:val="en-US" w:eastAsia="zh-CN"/>
        </w:rPr>
        <w:t xml:space="preserve"> </w:t>
      </w:r>
    </w:p>
    <w:p>
      <w:pPr>
        <w:overflowPunct w:val="0"/>
        <w:autoSpaceDE w:val="0"/>
        <w:autoSpaceDN w:val="0"/>
        <w:adjustRightInd w:val="0"/>
        <w:spacing w:before="156" w:beforeLines="50"/>
        <w:jc w:val="both"/>
        <w:rPr>
          <w:rFonts w:hint="default"/>
          <w:sz w:val="20"/>
          <w:szCs w:val="20"/>
          <w:lang w:val="en-US" w:eastAsia="zh-CN"/>
        </w:rPr>
      </w:pPr>
      <w:r>
        <w:rPr>
          <w:rFonts w:hint="eastAsia" w:ascii="Times New Roman" w:hAnsi="Times New Roman" w:cs="Times New Roman"/>
          <w:sz w:val="20"/>
          <w:szCs w:val="20"/>
          <w:lang w:val="en-US" w:eastAsia="zh-CN"/>
        </w:rPr>
        <w:t xml:space="preserve">With it comes to </w:t>
      </w:r>
      <w:r>
        <w:rPr>
          <w:rFonts w:hint="eastAsia"/>
          <w:sz w:val="20"/>
          <w:szCs w:val="20"/>
          <w:lang w:val="en-US" w:eastAsia="zh-CN"/>
        </w:rPr>
        <w:t>the mobile IAB scenario, the mobile IAB node moves together with the vehicles, which may be across different RNAs. Similar to the TAU, t</w:t>
      </w:r>
      <w:r>
        <w:rPr>
          <w:rFonts w:hint="eastAsia" w:cs="Times New Roman"/>
          <w:sz w:val="20"/>
          <w:szCs w:val="20"/>
          <w:lang w:val="en-US" w:eastAsia="zh-CN"/>
        </w:rPr>
        <w:t xml:space="preserve">he </w:t>
      </w:r>
      <w:r>
        <w:rPr>
          <w:rFonts w:hint="eastAsia"/>
          <w:sz w:val="20"/>
          <w:szCs w:val="20"/>
          <w:lang w:val="en-US" w:eastAsia="zh-CN"/>
        </w:rPr>
        <w:t xml:space="preserve">RNAU in mobile IAB scenario also involves a large group of UEs and should be avoided. Generally speaking, the </w:t>
      </w:r>
      <w:r>
        <w:rPr>
          <w:rFonts w:hint="eastAsia" w:cs="Times New Roman"/>
          <w:sz w:val="20"/>
          <w:szCs w:val="20"/>
          <w:lang w:val="en-US" w:eastAsia="zh-CN"/>
        </w:rPr>
        <w:t xml:space="preserve">following two cases should be considered: </w:t>
      </w:r>
    </w:p>
    <w:p>
      <w:pPr>
        <w:numPr>
          <w:ilvl w:val="0"/>
          <w:numId w:val="14"/>
        </w:numPr>
        <w:ind w:left="420" w:leftChars="0" w:hanging="420" w:firstLineChars="0"/>
        <w:rPr>
          <w:rFonts w:hint="default" w:ascii="Times New Roman" w:hAnsi="Times New Roman" w:eastAsia="Dutch801BT-Roman" w:cs="Times New Roman"/>
          <w:b/>
          <w:bCs/>
          <w:sz w:val="21"/>
          <w:szCs w:val="21"/>
        </w:rPr>
      </w:pPr>
      <w:r>
        <w:rPr>
          <w:rFonts w:hint="eastAsia" w:cs="Times New Roman"/>
          <w:b/>
          <w:bCs/>
          <w:sz w:val="21"/>
          <w:szCs w:val="21"/>
          <w:lang w:val="en-US" w:eastAsia="zh-CN"/>
        </w:rPr>
        <w:t>RNA is configured via RANAC</w:t>
      </w:r>
    </w:p>
    <w:p>
      <w:pPr>
        <w:numPr>
          <w:ilvl w:val="0"/>
          <w:numId w:val="0"/>
        </w:numPr>
        <w:ind w:leftChars="0"/>
        <w:jc w:val="both"/>
        <w:rPr>
          <w:rFonts w:hint="eastAsia"/>
          <w:highlight w:val="none"/>
          <w:lang w:val="en-US" w:eastAsia="zh-CN"/>
        </w:rPr>
      </w:pPr>
      <w:r>
        <w:rPr>
          <w:rFonts w:hint="eastAsia"/>
          <w:highlight w:val="none"/>
          <w:lang w:val="en-US" w:eastAsia="zh-CN"/>
        </w:rPr>
        <w:t xml:space="preserve">When the mobile IAB-node performs HO from source donor to target donor, the mobile IAB-MT may detect that </w:t>
      </w:r>
      <w:r>
        <w:rPr>
          <w:highlight w:val="none"/>
        </w:rPr>
        <w:t xml:space="preserve">the </w:t>
      </w:r>
      <w:r>
        <w:rPr>
          <w:rFonts w:hint="eastAsia"/>
          <w:highlight w:val="none"/>
          <w:lang w:val="en-US" w:eastAsia="zh-CN"/>
        </w:rPr>
        <w:t>RANAC of target donor</w:t>
      </w:r>
      <w:r>
        <w:rPr>
          <w:rFonts w:hint="default"/>
          <w:highlight w:val="none"/>
          <w:lang w:val="en-US" w:eastAsia="zh-CN"/>
        </w:rPr>
        <w:t>’</w:t>
      </w:r>
      <w:r>
        <w:rPr>
          <w:rFonts w:hint="eastAsia"/>
          <w:highlight w:val="none"/>
          <w:lang w:val="en-US" w:eastAsia="zh-CN"/>
        </w:rPr>
        <w:t>s cell is different from the RANAC broadcast by co-located mobile IAB-DU. In order to keep the UE reachability within RAN area, the mobile IAB-DU</w:t>
      </w:r>
      <w:r>
        <w:rPr>
          <w:rFonts w:hint="default"/>
          <w:highlight w:val="none"/>
          <w:lang w:val="en-US" w:eastAsia="zh-CN"/>
        </w:rPr>
        <w:t>’</w:t>
      </w:r>
      <w:r>
        <w:rPr>
          <w:rFonts w:hint="eastAsia"/>
          <w:highlight w:val="none"/>
          <w:lang w:val="en-US" w:eastAsia="zh-CN"/>
        </w:rPr>
        <w:t>s cells may change the RANAC values broadcast in system information to keep align with the serving cell of parent donor. Alternatively, the target donor CU may send the RANAC configuration to mobile IAB-DU and then mobile IAB-DU</w:t>
      </w:r>
      <w:r>
        <w:rPr>
          <w:rFonts w:hint="default"/>
          <w:highlight w:val="none"/>
          <w:lang w:val="en-US" w:eastAsia="zh-CN"/>
        </w:rPr>
        <w:t>’</w:t>
      </w:r>
      <w:r>
        <w:rPr>
          <w:rFonts w:hint="eastAsia"/>
          <w:highlight w:val="none"/>
          <w:lang w:val="en-US" w:eastAsia="zh-CN"/>
        </w:rPr>
        <w:t xml:space="preserve">s cell broadcast this RANAC value in system information. </w:t>
      </w:r>
    </w:p>
    <w:p>
      <w:pPr>
        <w:numPr>
          <w:ilvl w:val="0"/>
          <w:numId w:val="0"/>
        </w:numPr>
        <w:ind w:leftChars="0"/>
        <w:jc w:val="both"/>
        <w:rPr>
          <w:rFonts w:hint="eastAsia" w:eastAsia="等线"/>
          <w:lang w:val="en-US" w:eastAsia="zh-CN"/>
        </w:rPr>
      </w:pPr>
      <w:r>
        <w:rPr>
          <w:rFonts w:hint="eastAsia" w:cs="Times New Roman"/>
          <w:sz w:val="20"/>
          <w:szCs w:val="20"/>
          <w:lang w:val="en-US" w:eastAsia="zh-CN"/>
        </w:rPr>
        <w:t xml:space="preserve">In order to reduce the RNAU of </w:t>
      </w:r>
      <w:r>
        <w:rPr>
          <w:rFonts w:hint="eastAsia"/>
          <w:sz w:val="20"/>
          <w:szCs w:val="20"/>
          <w:highlight w:val="none"/>
          <w:lang w:val="en-US" w:eastAsia="zh-CN"/>
        </w:rPr>
        <w:t>RRC_INACTIVE UEs served by the mobile IAB-DU</w:t>
      </w:r>
      <w:r>
        <w:rPr>
          <w:rFonts w:hint="default"/>
          <w:sz w:val="20"/>
          <w:szCs w:val="20"/>
          <w:highlight w:val="none"/>
          <w:lang w:val="en-US" w:eastAsia="zh-CN"/>
        </w:rPr>
        <w:t>’</w:t>
      </w:r>
      <w:r>
        <w:rPr>
          <w:rFonts w:hint="eastAsia"/>
          <w:sz w:val="20"/>
          <w:szCs w:val="20"/>
          <w:highlight w:val="none"/>
          <w:lang w:val="en-US" w:eastAsia="zh-CN"/>
        </w:rPr>
        <w:t>s cell</w:t>
      </w:r>
      <w:r>
        <w:rPr>
          <w:rFonts w:hint="eastAsia" w:cs="Times New Roman"/>
          <w:sz w:val="20"/>
          <w:szCs w:val="20"/>
          <w:lang w:val="en-US" w:eastAsia="zh-CN"/>
        </w:rPr>
        <w:t>, it is suggested that the donor CU of mobile IAB node provide U</w:t>
      </w:r>
      <w:r>
        <w:rPr>
          <w:rFonts w:hint="eastAsia"/>
          <w:highlight w:val="none"/>
          <w:lang w:val="en-US" w:eastAsia="zh-CN"/>
        </w:rPr>
        <w:t>Es served by the mobile IAB-DU</w:t>
      </w:r>
      <w:r>
        <w:rPr>
          <w:rFonts w:hint="default"/>
          <w:highlight w:val="none"/>
          <w:lang w:val="en-US" w:eastAsia="zh-CN"/>
        </w:rPr>
        <w:t>’</w:t>
      </w:r>
      <w:r>
        <w:rPr>
          <w:rFonts w:hint="eastAsia"/>
          <w:highlight w:val="none"/>
          <w:lang w:val="en-US" w:eastAsia="zh-CN"/>
        </w:rPr>
        <w:t xml:space="preserve">s cell with a list RANACs, which potentially will be broadcast by the mobile IAB node along the movement and where the Xn connection is available between donor CU and potential target CUs for mobile IAB node. In this way, the UEs served by the mobile IAB node </w:t>
      </w:r>
      <w:r>
        <w:rPr>
          <w:rFonts w:eastAsia="等线"/>
          <w:lang w:eastAsia="ko-KR"/>
        </w:rPr>
        <w:t xml:space="preserve">do not need to perform </w:t>
      </w:r>
      <w:r>
        <w:rPr>
          <w:rFonts w:hint="eastAsia" w:eastAsia="等线"/>
          <w:lang w:val="en-US" w:eastAsia="zh-CN"/>
        </w:rPr>
        <w:t>RNAU whe</w:t>
      </w:r>
      <w:r>
        <w:rPr>
          <w:rFonts w:eastAsia="等线"/>
          <w:lang w:eastAsia="ko-KR"/>
        </w:rPr>
        <w:t xml:space="preserve">n the </w:t>
      </w:r>
      <w:r>
        <w:rPr>
          <w:rFonts w:hint="eastAsia" w:eastAsia="等线"/>
          <w:lang w:val="en-US" w:eastAsia="zh-CN"/>
        </w:rPr>
        <w:t>mobile IAB-DU</w:t>
      </w:r>
      <w:r>
        <w:rPr>
          <w:rFonts w:eastAsia="等线"/>
          <w:lang w:eastAsia="ko-KR"/>
        </w:rPr>
        <w:t xml:space="preserve"> changes </w:t>
      </w:r>
      <w:r>
        <w:rPr>
          <w:rFonts w:hint="eastAsia" w:eastAsia="等线"/>
          <w:lang w:val="en-US" w:eastAsia="zh-CN"/>
        </w:rPr>
        <w:t>RANAC</w:t>
      </w:r>
      <w:r>
        <w:rPr>
          <w:rFonts w:eastAsia="等线"/>
          <w:lang w:eastAsia="ko-KR"/>
        </w:rPr>
        <w:t>s</w:t>
      </w:r>
      <w:r>
        <w:rPr>
          <w:rFonts w:hint="eastAsia" w:eastAsia="等线"/>
          <w:lang w:val="en-US" w:eastAsia="zh-CN"/>
        </w:rPr>
        <w:t xml:space="preserve">. </w:t>
      </w:r>
    </w:p>
    <w:p>
      <w:pPr>
        <w:numPr>
          <w:ilvl w:val="0"/>
          <w:numId w:val="0"/>
        </w:numPr>
        <w:ind w:leftChars="0"/>
        <w:jc w:val="both"/>
        <w:rPr>
          <w:rFonts w:hint="default"/>
          <w:b/>
          <w:bCs/>
          <w:highlight w:val="none"/>
          <w:lang w:val="en-US" w:eastAsia="zh-CN"/>
        </w:rPr>
      </w:pPr>
      <w:r>
        <w:rPr>
          <w:rFonts w:hint="eastAsia" w:cs="Times New Roman"/>
          <w:b/>
          <w:bCs/>
          <w:sz w:val="21"/>
          <w:szCs w:val="21"/>
          <w:lang w:val="en-US" w:eastAsia="zh-CN"/>
        </w:rPr>
        <w:t>Proposal 10: For the RNA configuration via RANAC, the RANAC values that are broadcast by mobile IAB-DU</w:t>
      </w:r>
      <w:r>
        <w:rPr>
          <w:rFonts w:hint="default" w:cs="Times New Roman"/>
          <w:b/>
          <w:bCs/>
          <w:sz w:val="21"/>
          <w:szCs w:val="21"/>
          <w:lang w:val="en-US" w:eastAsia="zh-CN"/>
        </w:rPr>
        <w:t>’</w:t>
      </w:r>
      <w:r>
        <w:rPr>
          <w:rFonts w:hint="eastAsia" w:cs="Times New Roman"/>
          <w:b/>
          <w:bCs/>
          <w:sz w:val="21"/>
          <w:szCs w:val="21"/>
          <w:lang w:val="en-US" w:eastAsia="zh-CN"/>
        </w:rPr>
        <w:t xml:space="preserve">s cells may </w:t>
      </w:r>
      <w:r>
        <w:rPr>
          <w:rFonts w:hint="eastAsia"/>
          <w:b/>
          <w:bCs/>
          <w:highlight w:val="none"/>
          <w:lang w:val="en-US" w:eastAsia="zh-CN"/>
        </w:rPr>
        <w:t>change with the serving donor.</w:t>
      </w:r>
    </w:p>
    <w:p>
      <w:pPr>
        <w:numPr>
          <w:ilvl w:val="0"/>
          <w:numId w:val="14"/>
        </w:numPr>
        <w:ind w:left="420" w:leftChars="0" w:hanging="420" w:firstLineChars="0"/>
        <w:rPr>
          <w:rFonts w:hint="eastAsia"/>
          <w:sz w:val="20"/>
          <w:szCs w:val="20"/>
          <w:highlight w:val="none"/>
          <w:lang w:val="en-US" w:eastAsia="zh-CN"/>
        </w:rPr>
      </w:pPr>
      <w:r>
        <w:rPr>
          <w:rFonts w:hint="eastAsia" w:cs="Times New Roman"/>
          <w:b/>
          <w:bCs/>
          <w:sz w:val="21"/>
          <w:szCs w:val="21"/>
          <w:highlight w:val="none"/>
          <w:lang w:val="en-US" w:eastAsia="zh-CN"/>
        </w:rPr>
        <w:t xml:space="preserve">RNA is configured via a list of NCGIs </w:t>
      </w:r>
    </w:p>
    <w:p>
      <w:pPr>
        <w:numPr>
          <w:ilvl w:val="0"/>
          <w:numId w:val="0"/>
        </w:numPr>
        <w:ind w:leftChars="0"/>
        <w:jc w:val="both"/>
        <w:rPr>
          <w:rFonts w:hint="eastAsia"/>
          <w:sz w:val="20"/>
          <w:szCs w:val="20"/>
          <w:highlight w:val="none"/>
          <w:lang w:val="en-US" w:eastAsia="zh-CN"/>
        </w:rPr>
      </w:pPr>
      <w:r>
        <w:rPr>
          <w:rFonts w:hint="eastAsia" w:cs="Times New Roman"/>
          <w:sz w:val="20"/>
          <w:szCs w:val="20"/>
          <w:lang w:val="en-US" w:eastAsia="zh-CN"/>
        </w:rPr>
        <w:t>Suppose the UE is configured with a list of cells for RNA when entering into RRC_INACTIVE state, the UEs served by the mobile IAB-DU may detect that the NCGI change of mobile IAB-DU when the mobile IAB node performs HO. It is very likely that the new NCGI of mobile IAB-DU is not included in the list of cells for UE's RNA and the RRC_INACTIVE UE served by the mobile IAB-DU will perform the RNAU procedure. In order to reduce unnecessary RNAU, it is suggested that the</w:t>
      </w:r>
      <w:r>
        <w:rPr>
          <w:rFonts w:hint="eastAsia"/>
          <w:sz w:val="20"/>
          <w:szCs w:val="20"/>
          <w:highlight w:val="none"/>
          <w:lang w:val="en-US" w:eastAsia="zh-CN"/>
        </w:rPr>
        <w:t xml:space="preserve"> RRC_INACTIVE UE served by the cells of mobile IAB-node-DU replace the old NCGI with the new one in its cell list of RAN area.  </w:t>
      </w:r>
    </w:p>
    <w:p>
      <w:pPr>
        <w:jc w:val="both"/>
        <w:rPr>
          <w:rFonts w:hint="eastAsia" w:eastAsia="等线"/>
          <w:b/>
          <w:bCs/>
          <w:lang w:val="en-US" w:eastAsia="zh-CN"/>
        </w:rPr>
      </w:pPr>
      <w:r>
        <w:rPr>
          <w:rFonts w:hint="eastAsia"/>
          <w:b/>
          <w:bCs/>
          <w:sz w:val="20"/>
          <w:szCs w:val="20"/>
          <w:highlight w:val="none"/>
          <w:lang w:val="en-US" w:eastAsia="zh-CN"/>
        </w:rPr>
        <w:t xml:space="preserve">Proposal 11: For the RNA configuration via RANAC, the UE may </w:t>
      </w:r>
      <w:r>
        <w:rPr>
          <w:rFonts w:hint="eastAsia" w:cs="Times New Roman"/>
          <w:b/>
          <w:bCs/>
          <w:sz w:val="21"/>
          <w:szCs w:val="21"/>
          <w:highlight w:val="none"/>
          <w:lang w:val="en-US" w:eastAsia="zh-CN"/>
        </w:rPr>
        <w:t>replace the old NCGI with new NCGI of mobile IAB-node-DU</w:t>
      </w:r>
      <w:r>
        <w:rPr>
          <w:rFonts w:hint="default" w:cs="Times New Roman"/>
          <w:b/>
          <w:bCs/>
          <w:sz w:val="21"/>
          <w:szCs w:val="21"/>
          <w:highlight w:val="none"/>
          <w:lang w:val="en-US" w:eastAsia="zh-CN"/>
        </w:rPr>
        <w:t>’</w:t>
      </w:r>
      <w:r>
        <w:rPr>
          <w:rFonts w:hint="eastAsia" w:cs="Times New Roman"/>
          <w:b/>
          <w:bCs/>
          <w:sz w:val="21"/>
          <w:szCs w:val="21"/>
          <w:highlight w:val="none"/>
          <w:lang w:val="en-US" w:eastAsia="zh-CN"/>
        </w:rPr>
        <w:t>s cell for the cells included in the RNA configuration.</w:t>
      </w:r>
    </w:p>
    <w:p>
      <w:pPr>
        <w:pStyle w:val="4"/>
        <w:bidi w:val="0"/>
        <w:rPr>
          <w:rFonts w:hint="eastAsia"/>
          <w:lang w:val="en-US" w:eastAsia="zh-CN"/>
        </w:rPr>
      </w:pPr>
      <w:r>
        <w:rPr>
          <w:rFonts w:hint="eastAsia"/>
          <w:lang w:val="en-US" w:eastAsia="zh-CN"/>
        </w:rPr>
        <w:t>CHO</w:t>
      </w:r>
    </w:p>
    <w:p>
      <w:pPr>
        <w:jc w:val="both"/>
        <w:rPr>
          <w:rFonts w:hint="eastAsia"/>
          <w:lang w:val="en-US" w:eastAsia="zh-CN"/>
        </w:rPr>
      </w:pPr>
      <w:r>
        <w:rPr>
          <w:rFonts w:hint="eastAsia"/>
          <w:lang w:val="en-US" w:eastAsia="zh-CN"/>
        </w:rPr>
        <w:t xml:space="preserve">During RAN2#119e meeting, the group mobility of UEs served by the mobile IAB node was discussed and it was agreed that </w:t>
      </w:r>
      <w:r>
        <w:t xml:space="preserve">R2 assumes that </w:t>
      </w:r>
      <w:r>
        <w:rPr>
          <w:color w:val="auto"/>
        </w:rPr>
        <w:t>CHO or delayed RRC config could be the baseline for group mobility (FFS if could be applicable for mobility of IAB MT), i.e</w:t>
      </w:r>
      <w:r>
        <w:t xml:space="preserve">. with a preparation in advance (not immediately) of the execution. </w:t>
      </w:r>
      <w:r>
        <w:rPr>
          <w:rFonts w:hint="eastAsia"/>
          <w:lang w:val="en-US" w:eastAsia="zh-CN"/>
        </w:rPr>
        <w:t xml:space="preserve">In this section, we discuss how CHO or delayed RRC config could be used for group mobility. </w:t>
      </w:r>
    </w:p>
    <w:p>
      <w:pPr>
        <w:jc w:val="both"/>
        <w:rPr>
          <w:rFonts w:hint="default"/>
          <w:lang w:val="en-US" w:eastAsia="zh-CN"/>
        </w:rPr>
      </w:pPr>
      <w:r>
        <w:rPr>
          <w:rFonts w:hint="eastAsia"/>
          <w:lang w:val="en-US" w:eastAsia="zh-CN"/>
        </w:rPr>
        <w:t xml:space="preserve">As we know, group mobility means information of multiple UEs are incorporated in a single message in order to reduce service interruption due to IAB node mobility. During IAB node migration, following legacy handover procedure, the source donor CU needs to send RRCReconfiguration messages to all served UEs individually, which will spend a lot of time. By using CHO mechanism, the  RRCreconfiguration messages including conditional configurations can be sent to served UEs in advance. And then when the </w:t>
      </w:r>
      <w:r>
        <w:rPr>
          <w:rFonts w:eastAsia="宋体"/>
          <w:lang w:eastAsia="zh-CN"/>
        </w:rPr>
        <w:t>handover execution</w:t>
      </w:r>
      <w:r>
        <w:rPr>
          <w:rFonts w:hint="eastAsia"/>
          <w:lang w:val="en-US" w:eastAsia="zh-CN"/>
        </w:rPr>
        <w:t xml:space="preserve"> condition is met, the UEs execute the conditional handover procedure automatically. In legacy CHO mechanism, </w:t>
      </w:r>
      <w:r>
        <w:t>CHO events A3</w:t>
      </w:r>
      <w:r>
        <w:rPr>
          <w:rFonts w:hint="eastAsia"/>
          <w:lang w:val="en-US" w:eastAsia="zh-CN"/>
        </w:rPr>
        <w:t xml:space="preserve"> (Neighbour becomes offset better than SpCell)</w:t>
      </w:r>
      <w:r>
        <w:t>/A5</w:t>
      </w:r>
      <w:r>
        <w:rPr>
          <w:rFonts w:hint="eastAsia"/>
        </w:rPr>
        <w:t>(SpCell becomes worse than threshold1 and neighbour becomes</w:t>
      </w:r>
      <w:r>
        <w:rPr>
          <w:rFonts w:hint="eastAsia"/>
          <w:lang w:val="en-US" w:eastAsia="zh-CN"/>
        </w:rPr>
        <w:t xml:space="preserve"> </w:t>
      </w:r>
      <w:r>
        <w:rPr>
          <w:rFonts w:hint="eastAsia"/>
        </w:rPr>
        <w:t>better than threshold2)</w:t>
      </w:r>
      <w:r>
        <w:rPr>
          <w:rFonts w:hint="eastAsia"/>
          <w:lang w:val="en-US" w:eastAsia="zh-CN"/>
        </w:rPr>
        <w:t xml:space="preserve"> are used for triggering a conditional handover procedure. However, in mobile IAB scenario, the UEs are relatively stationary to the mobile IAB node. That means the radio link quality of UE</w:t>
      </w:r>
      <w:r>
        <w:rPr>
          <w:rFonts w:hint="default"/>
          <w:lang w:val="en-US" w:eastAsia="zh-CN"/>
        </w:rPr>
        <w:t>’</w:t>
      </w:r>
      <w:r>
        <w:rPr>
          <w:rFonts w:hint="eastAsia"/>
          <w:lang w:val="en-US" w:eastAsia="zh-CN"/>
        </w:rPr>
        <w:t xml:space="preserve">s serving cell will not deteriorate. Therefore legacy triggering condition for CHO is not applicable for UEs served by mobile IAB scenario. </w:t>
      </w:r>
    </w:p>
    <w:p>
      <w:pPr>
        <w:jc w:val="both"/>
        <w:rPr>
          <w:rFonts w:hint="default"/>
          <w:lang w:val="en-US" w:eastAsia="zh-CN"/>
        </w:rPr>
      </w:pPr>
      <w:r>
        <w:rPr>
          <w:rFonts w:hint="eastAsia"/>
          <w:lang w:val="en-US" w:eastAsia="zh-CN"/>
        </w:rPr>
        <w:t xml:space="preserve">In order to solve the aforementioned problem, new triggering condition for CHO could be defined, e.g., when the neighbour cell which is a </w:t>
      </w:r>
      <w:r>
        <w:rPr>
          <w:lang w:eastAsia="ko-KR"/>
        </w:rPr>
        <w:t>CHO candidate cell</w:t>
      </w:r>
      <w:r>
        <w:rPr>
          <w:rFonts w:hint="eastAsia"/>
          <w:lang w:val="en-US" w:eastAsia="zh-CN"/>
        </w:rPr>
        <w:t xml:space="preserve"> becomes better than a threshold. Alternatively, a triggering indication could be sent by the donor/mobile IAB node to the UEs to trigger the execution of CHO at the R18 UEs. To reduce signaling overhead and service interruption, the triggering indication could be sent via group signaling, e.g. via system information. As we can see, the potential solutions have signalling impact to UE and can only be supported by R18 UE. For the legacy UE, it can only be handed over by legacy procedure, i.e. RRCreconfiguration is transmitted by donor CU to UEs individually which should be executed immediately. In addition, CHO could be configured at mobile IAB-MT as well to short</w:t>
      </w:r>
      <w:r>
        <w:rPr>
          <w:rFonts w:hint="eastAsia"/>
          <w:b w:val="0"/>
          <w:bCs w:val="0"/>
          <w:lang w:val="en-US" w:eastAsia="zh-CN"/>
        </w:rPr>
        <w:t xml:space="preserve">en the procedure of IAB node migration, </w:t>
      </w:r>
      <w:r>
        <w:rPr>
          <w:rFonts w:hint="eastAsia"/>
          <w:lang w:val="en-US" w:eastAsia="zh-CN"/>
        </w:rPr>
        <w:t xml:space="preserve">as already supported in R17 IAB. And legacy triggering condition could be used at the mobile IAB-MT. </w:t>
      </w:r>
    </w:p>
    <w:p>
      <w:pPr>
        <w:jc w:val="both"/>
        <w:rPr>
          <w:rFonts w:hint="default"/>
          <w:b/>
          <w:bCs/>
          <w:lang w:val="en-US" w:eastAsia="zh-CN"/>
        </w:rPr>
      </w:pPr>
      <w:r>
        <w:rPr>
          <w:rFonts w:hint="eastAsia"/>
          <w:b/>
          <w:bCs/>
          <w:lang w:val="en-US" w:eastAsia="zh-CN"/>
        </w:rPr>
        <w:t>Proposal 12: New triggering condition for CHO could be defined or a triggering indication could be sent by the donor/mobile IAB node to the Rel-18 UEs to trigger the execution of CHO.</w:t>
      </w:r>
    </w:p>
    <w:bookmarkEnd w:id="0"/>
    <w:p>
      <w:pPr>
        <w:pStyle w:val="2"/>
        <w:jc w:val="both"/>
        <w:rPr>
          <w:rFonts w:eastAsia="宋体"/>
          <w:lang w:eastAsia="zh-CN"/>
        </w:rPr>
      </w:pPr>
      <w:bookmarkStart w:id="1" w:name="OLE_LINK1"/>
      <w:bookmarkStart w:id="2" w:name="OLE_LINK2"/>
      <w:r>
        <w:rPr>
          <w:rFonts w:hint="eastAsia" w:eastAsia="宋体"/>
          <w:lang w:eastAsia="zh-CN"/>
        </w:rPr>
        <w:t>Conclusion</w:t>
      </w:r>
    </w:p>
    <w:bookmarkEnd w:id="1"/>
    <w:bookmarkEnd w:id="2"/>
    <w:p>
      <w:pPr>
        <w:overflowPunct w:val="0"/>
        <w:autoSpaceDE w:val="0"/>
        <w:autoSpaceDN w:val="0"/>
        <w:adjustRightInd w:val="0"/>
        <w:spacing w:before="156" w:beforeLines="50"/>
        <w:jc w:val="both"/>
        <w:rPr>
          <w:rFonts w:hint="default" w:ascii="Times New Roman" w:hAnsi="Times New Roman" w:cs="Times New Roman"/>
          <w:lang w:val="en-US" w:eastAsia="zh-CN"/>
        </w:rPr>
      </w:pPr>
      <w:r>
        <w:rPr>
          <w:rFonts w:hint="default" w:ascii="Times New Roman" w:hAnsi="Times New Roman" w:cs="Times New Roman"/>
          <w:lang w:val="en-US" w:eastAsia="zh-CN"/>
        </w:rPr>
        <w:t xml:space="preserve">In this contribution, </w:t>
      </w:r>
      <w:r>
        <w:rPr>
          <w:rFonts w:hint="eastAsia"/>
          <w:lang w:val="en-US" w:eastAsia="zh-CN"/>
        </w:rPr>
        <w:t>we focus on the remaining issues for mobile IAB and present our point of view</w:t>
      </w:r>
      <w:r>
        <w:rPr>
          <w:rFonts w:hint="default" w:ascii="Times New Roman" w:hAnsi="Times New Roman" w:cs="Times New Roman"/>
          <w:lang w:val="en-US" w:eastAsia="zh-CN"/>
        </w:rPr>
        <w:t>.</w:t>
      </w:r>
      <w:r>
        <w:rPr>
          <w:rFonts w:hint="eastAsia" w:cs="Times New Roman"/>
          <w:lang w:val="en-US" w:eastAsia="zh-CN"/>
        </w:rPr>
        <w:t xml:space="preserve"> The following proposals are given:</w:t>
      </w:r>
    </w:p>
    <w:p>
      <w:pPr>
        <w:jc w:val="both"/>
        <w:rPr>
          <w:rFonts w:hint="eastAsia" w:cs="Times New Roman"/>
          <w:b/>
          <w:bCs/>
          <w:sz w:val="20"/>
          <w:lang w:val="en-US" w:eastAsia="zh-CN"/>
        </w:rPr>
      </w:pPr>
      <w:r>
        <w:rPr>
          <w:rFonts w:hint="eastAsia"/>
          <w:b/>
          <w:bCs/>
          <w:lang w:val="en-US" w:eastAsia="zh-CN"/>
        </w:rPr>
        <w:t xml:space="preserve"> </w:t>
      </w:r>
      <w:r>
        <w:rPr>
          <w:rFonts w:hint="eastAsia" w:cs="Times New Roman"/>
          <w:b/>
          <w:bCs/>
          <w:sz w:val="20"/>
          <w:lang w:val="en-US" w:eastAsia="zh-CN"/>
        </w:rPr>
        <w:t>Proposal 1</w:t>
      </w:r>
      <w:r>
        <w:rPr>
          <w:rFonts w:hint="eastAsia" w:ascii="Times New Roman" w:hAnsi="Times New Roman" w:cs="Times New Roman"/>
          <w:b/>
          <w:bCs/>
          <w:sz w:val="20"/>
          <w:lang w:val="en-US" w:eastAsia="zh-CN"/>
        </w:rPr>
        <w:t xml:space="preserve">: </w:t>
      </w:r>
      <w:r>
        <w:rPr>
          <w:rFonts w:hint="eastAsia" w:cs="Times New Roman"/>
          <w:b/>
          <w:bCs/>
          <w:sz w:val="20"/>
          <w:lang w:val="en-US" w:eastAsia="zh-CN"/>
        </w:rPr>
        <w:t xml:space="preserve">UE may prioritize to select the cell with which UE has similar mobility state via </w:t>
      </w:r>
      <w:r>
        <w:rPr>
          <w:rFonts w:hint="eastAsia" w:ascii="Times New Roman" w:hAnsi="Times New Roman" w:cs="Times New Roman"/>
          <w:b/>
          <w:bCs/>
          <w:sz w:val="20"/>
          <w:lang w:val="en-US" w:eastAsia="zh-CN"/>
        </w:rPr>
        <w:t xml:space="preserve">stationary or low relative mobility </w:t>
      </w:r>
      <w:r>
        <w:rPr>
          <w:rFonts w:hint="eastAsia" w:cs="Times New Roman"/>
          <w:b/>
          <w:bCs/>
          <w:sz w:val="20"/>
          <w:lang w:val="en-US" w:eastAsia="zh-CN"/>
        </w:rPr>
        <w:t>evaluation.</w:t>
      </w:r>
    </w:p>
    <w:p>
      <w:pPr>
        <w:jc w:val="both"/>
        <w:rPr>
          <w:rFonts w:hint="eastAsia"/>
          <w:b/>
          <w:bCs/>
          <w:lang w:val="en-US" w:eastAsia="zh-CN"/>
        </w:rPr>
      </w:pPr>
      <w:r>
        <w:rPr>
          <w:rFonts w:hint="eastAsia"/>
          <w:b/>
          <w:bCs/>
          <w:highlight w:val="none"/>
          <w:lang w:val="en-US" w:eastAsia="zh-CN"/>
        </w:rPr>
        <w:t xml:space="preserve">Proposal 2: If the mobile IAB node only allows the </w:t>
      </w:r>
      <w:r>
        <w:rPr>
          <w:rFonts w:hint="eastAsia"/>
          <w:b/>
          <w:bCs/>
          <w:lang w:val="en-US" w:eastAsia="zh-CN"/>
        </w:rPr>
        <w:t>restricted access of certain group of on-board UEs, the design of PNI-NPN and CAG (Close Access Group) may be leveraged.</w:t>
      </w:r>
    </w:p>
    <w:p>
      <w:pPr>
        <w:numPr>
          <w:ilvl w:val="0"/>
          <w:numId w:val="0"/>
        </w:numPr>
        <w:ind w:leftChars="0"/>
        <w:jc w:val="both"/>
        <w:rPr>
          <w:rFonts w:hint="eastAsia"/>
          <w:b/>
          <w:bCs/>
          <w:lang w:val="en-US" w:eastAsia="zh-CN"/>
        </w:rPr>
      </w:pPr>
      <w:r>
        <w:rPr>
          <w:rFonts w:hint="eastAsia"/>
          <w:b/>
          <w:bCs/>
          <w:lang w:val="en-US" w:eastAsia="zh-CN"/>
        </w:rPr>
        <w:t>Proposal 3: To avoid unnecessary inter-frequency measurement with high priority, UE camped on mobile IAB cell</w:t>
      </w:r>
      <w:r>
        <w:rPr>
          <w:rFonts w:hint="eastAsia"/>
          <w:b/>
          <w:bCs/>
          <w:highlight w:val="none"/>
          <w:lang w:val="en-US" w:eastAsia="zh-CN"/>
        </w:rPr>
        <w:t xml:space="preserve"> may regard the frequency which provide mobile IAB cell to be the highest priority. In addition, the relaxed RRM measurement</w:t>
      </w:r>
      <w:r>
        <w:rPr>
          <w:rFonts w:hint="eastAsia"/>
          <w:b/>
          <w:bCs/>
          <w:lang w:val="en-US" w:eastAsia="zh-CN"/>
        </w:rPr>
        <w:t xml:space="preserve"> may be enabled for UEs camped on the mobile IAB cells.</w:t>
      </w:r>
    </w:p>
    <w:p>
      <w:pPr>
        <w:jc w:val="both"/>
        <w:rPr>
          <w:lang w:eastAsia="zh-CN"/>
        </w:rPr>
      </w:pPr>
      <w:r>
        <w:rPr>
          <w:rFonts w:hint="eastAsia"/>
          <w:b/>
          <w:bCs/>
          <w:lang w:val="en-US" w:eastAsia="zh-CN"/>
        </w:rPr>
        <w:t xml:space="preserve">Proposal 4: Suppose the PCI/frequency of mobile IAB cell change due to collision avoidance,  </w:t>
      </w:r>
      <w:r>
        <w:rPr>
          <w:rFonts w:hint="eastAsia"/>
          <w:b/>
          <w:bCs/>
          <w:highlight w:val="none"/>
          <w:lang w:val="en-US" w:eastAsia="zh-CN"/>
        </w:rPr>
        <w:t>it is suggested to notify the camped UE with the potential change in advance and then the camped RRC_IDLE/INACTIVE UE re-select the cell with new PCI/frequency.</w:t>
      </w:r>
    </w:p>
    <w:p>
      <w:pPr>
        <w:keepNext w:val="0"/>
        <w:keepLines w:val="0"/>
        <w:pageBreakBefore w:val="0"/>
        <w:widowControl w:val="0"/>
        <w:kinsoku/>
        <w:wordWrap/>
        <w:overflowPunct/>
        <w:topLinePunct w:val="0"/>
        <w:autoSpaceDE/>
        <w:autoSpaceDN/>
        <w:bidi w:val="0"/>
        <w:adjustRightInd/>
        <w:snapToGrid/>
        <w:spacing w:before="157" w:beforeLines="50"/>
        <w:textAlignment w:val="auto"/>
        <w:rPr>
          <w:rFonts w:hint="eastAsia"/>
          <w:b/>
          <w:bCs/>
          <w:lang w:val="en-US" w:eastAsia="zh-CN"/>
        </w:rPr>
      </w:pPr>
      <w:r>
        <w:rPr>
          <w:rFonts w:hint="default" w:ascii="Times New Roman" w:hAnsi="Times New Roman" w:cs="Times New Roman"/>
          <w:b/>
          <w:bCs/>
          <w:i w:val="0"/>
          <w:iCs w:val="0"/>
          <w:color w:val="auto"/>
          <w:kern w:val="2"/>
          <w:sz w:val="20"/>
          <w:szCs w:val="20"/>
          <w:lang w:val="en-US" w:eastAsia="zh-CN"/>
        </w:rPr>
        <w:t>Proposal</w:t>
      </w:r>
      <w:r>
        <w:rPr>
          <w:rFonts w:hint="eastAsia" w:cs="Times New Roman"/>
          <w:b/>
          <w:bCs/>
          <w:i w:val="0"/>
          <w:iCs w:val="0"/>
          <w:color w:val="auto"/>
          <w:kern w:val="2"/>
          <w:sz w:val="20"/>
          <w:szCs w:val="20"/>
          <w:lang w:val="en-US" w:eastAsia="zh-CN"/>
        </w:rPr>
        <w:t xml:space="preserve"> 5</w:t>
      </w:r>
      <w:r>
        <w:rPr>
          <w:rFonts w:hint="default" w:ascii="Times New Roman" w:hAnsi="Times New Roman" w:cs="Times New Roman"/>
          <w:b/>
          <w:bCs/>
          <w:i w:val="0"/>
          <w:iCs w:val="0"/>
          <w:color w:val="auto"/>
          <w:kern w:val="2"/>
          <w:sz w:val="20"/>
          <w:szCs w:val="20"/>
          <w:lang w:val="en-US" w:eastAsia="zh-CN"/>
        </w:rPr>
        <w:t xml:space="preserve">: </w:t>
      </w:r>
      <w:r>
        <w:rPr>
          <w:rFonts w:hint="eastAsia" w:eastAsia="Batang" w:cs="Times New Roman"/>
          <w:b/>
          <w:bCs/>
          <w:lang w:val="en-US" w:eastAsia="zh-CN"/>
        </w:rPr>
        <w:t>M</w:t>
      </w:r>
      <w:r>
        <w:rPr>
          <w:rFonts w:hint="eastAsia" w:ascii="Times New Roman" w:hAnsi="Times New Roman" w:eastAsia="Batang" w:cs="Times New Roman"/>
          <w:b/>
          <w:bCs/>
          <w:lang w:val="en-US" w:eastAsia="zh-CN"/>
        </w:rPr>
        <w:t xml:space="preserve">obile IAB-MT </w:t>
      </w:r>
      <w:r>
        <w:rPr>
          <w:rFonts w:hint="eastAsia" w:eastAsia="Batang" w:cs="Times New Roman"/>
          <w:b/>
          <w:bCs/>
          <w:lang w:val="en-US" w:eastAsia="zh-CN"/>
        </w:rPr>
        <w:t xml:space="preserve">may </w:t>
      </w:r>
      <w:r>
        <w:rPr>
          <w:rFonts w:hint="eastAsia" w:ascii="Times New Roman" w:hAnsi="Times New Roman" w:eastAsia="Batang" w:cs="Times New Roman"/>
          <w:b/>
          <w:bCs/>
          <w:lang w:val="en-US" w:eastAsia="zh-CN"/>
        </w:rPr>
        <w:t>send the mobile-IAB indication to the donor</w:t>
      </w:r>
      <w:r>
        <w:rPr>
          <w:rFonts w:hint="eastAsia" w:eastAsia="Batang" w:cs="Times New Roman"/>
          <w:b/>
          <w:bCs/>
          <w:lang w:val="en-US" w:eastAsia="zh-CN"/>
        </w:rPr>
        <w:t xml:space="preserve"> </w:t>
      </w:r>
      <w:r>
        <w:rPr>
          <w:rFonts w:hint="eastAsia" w:ascii="Times New Roman" w:hAnsi="Times New Roman" w:eastAsia="Batang" w:cs="Times New Roman"/>
          <w:b/>
          <w:bCs/>
          <w:lang w:val="en-US" w:eastAsia="zh-CN"/>
        </w:rPr>
        <w:t>CU</w:t>
      </w:r>
      <w:r>
        <w:rPr>
          <w:rFonts w:hint="eastAsia" w:eastAsia="Batang" w:cs="Times New Roman"/>
          <w:b/>
          <w:bCs/>
          <w:lang w:val="en-US" w:eastAsia="zh-CN"/>
        </w:rPr>
        <w:t xml:space="preserve">, which helps the donor CU to identify that a UE served by the mobile IAB cell. </w:t>
      </w:r>
    </w:p>
    <w:p>
      <w:pPr>
        <w:jc w:val="both"/>
        <w:rPr>
          <w:rFonts w:hint="eastAsia" w:ascii="Times New Roman" w:hAnsi="Times New Roman" w:cs="Times New Roman"/>
          <w:b/>
          <w:bCs/>
          <w:lang w:val="en-US" w:eastAsia="zh-CN"/>
        </w:rPr>
      </w:pPr>
      <w:r>
        <w:rPr>
          <w:rFonts w:hint="eastAsia" w:ascii="Times New Roman" w:hAnsi="Times New Roman" w:cs="Times New Roman"/>
          <w:b/>
          <w:bCs/>
          <w:lang w:val="en-US" w:eastAsia="zh-CN"/>
        </w:rPr>
        <w:t>Proposal</w:t>
      </w:r>
      <w:r>
        <w:rPr>
          <w:rFonts w:hint="eastAsia" w:cs="Times New Roman"/>
          <w:b/>
          <w:bCs/>
          <w:lang w:val="en-US" w:eastAsia="zh-CN"/>
        </w:rPr>
        <w:t xml:space="preserve"> 6</w:t>
      </w:r>
      <w:r>
        <w:rPr>
          <w:rFonts w:hint="eastAsia" w:ascii="Times New Roman" w:hAnsi="Times New Roman" w:cs="Times New Roman"/>
          <w:b/>
          <w:bCs/>
          <w:lang w:val="en-US" w:eastAsia="zh-CN"/>
        </w:rPr>
        <w:t xml:space="preserve">: The two sets of cells of the two logical DUs should appear to the UE as </w:t>
      </w:r>
      <w:r>
        <w:rPr>
          <w:rFonts w:hint="eastAsia" w:ascii="Times New Roman" w:hAnsi="Times New Roman" w:cs="Times New Roman"/>
          <w:b/>
          <w:bCs/>
          <w:lang w:val="en-US" w:eastAsia="en-US"/>
        </w:rPr>
        <w:t>distinguishable cells</w:t>
      </w:r>
      <w:r>
        <w:rPr>
          <w:rFonts w:hint="eastAsia" w:ascii="Times New Roman" w:hAnsi="Times New Roman" w:cs="Times New Roman"/>
          <w:b/>
          <w:bCs/>
          <w:lang w:val="en-US" w:eastAsia="zh-CN"/>
        </w:rPr>
        <w:t xml:space="preserve"> using different PCIs.</w:t>
      </w:r>
      <w:r>
        <w:rPr>
          <w:rFonts w:hint="eastAsia" w:cs="Times New Roman"/>
          <w:b/>
          <w:bCs/>
          <w:lang w:val="en-US" w:eastAsia="zh-CN"/>
        </w:rPr>
        <w:t xml:space="preserve"> </w:t>
      </w:r>
      <w:r>
        <w:rPr>
          <w:rFonts w:hint="eastAsia" w:ascii="Times New Roman" w:hAnsi="Times New Roman" w:cs="Times New Roman"/>
          <w:b/>
          <w:bCs/>
          <w:lang w:val="en-US" w:eastAsia="zh-CN"/>
        </w:rPr>
        <w:t>The served UEs perform legacy handover procedure from the cell of source logical DU to the cell of target logical DU.</w:t>
      </w:r>
    </w:p>
    <w:p>
      <w:pPr>
        <w:jc w:val="both"/>
        <w:rPr>
          <w:rFonts w:hint="default"/>
          <w:lang w:val="en-US" w:eastAsia="zh-CN"/>
        </w:rPr>
      </w:pPr>
      <w:r>
        <w:rPr>
          <w:rFonts w:hint="eastAsia" w:eastAsia="等线"/>
          <w:b/>
          <w:bCs/>
          <w:lang w:val="en-US" w:eastAsia="zh-CN"/>
        </w:rPr>
        <w:t>Proposal 7: RAN2 to consider the PCI re-assignment for mobile IAB-DU</w:t>
      </w:r>
      <w:r>
        <w:rPr>
          <w:rFonts w:hint="default" w:eastAsia="等线"/>
          <w:b/>
          <w:bCs/>
          <w:lang w:val="en-US" w:eastAsia="zh-CN"/>
        </w:rPr>
        <w:t>’</w:t>
      </w:r>
      <w:r>
        <w:rPr>
          <w:rFonts w:hint="eastAsia" w:eastAsia="等线"/>
          <w:b/>
          <w:bCs/>
          <w:lang w:val="en-US" w:eastAsia="zh-CN"/>
        </w:rPr>
        <w:t>s cell during the HO preparation phase of co-located mobile IAB-MT.</w:t>
      </w:r>
    </w:p>
    <w:p>
      <w:pPr>
        <w:jc w:val="both"/>
        <w:rPr>
          <w:rFonts w:hint="eastAsia" w:eastAsia="等线"/>
          <w:b/>
          <w:bCs/>
          <w:lang w:val="en-US" w:eastAsia="zh-CN"/>
        </w:rPr>
      </w:pPr>
      <w:r>
        <w:rPr>
          <w:rFonts w:hint="eastAsia"/>
          <w:b/>
          <w:bCs/>
          <w:lang w:val="en-US" w:eastAsia="zh-CN"/>
        </w:rPr>
        <w:t xml:space="preserve">Proposal 8: </w:t>
      </w:r>
      <w:r>
        <w:rPr>
          <w:rFonts w:hint="eastAsia" w:eastAsia="等线"/>
          <w:b/>
          <w:bCs/>
          <w:lang w:val="en-US" w:eastAsia="zh-CN"/>
        </w:rPr>
        <w:t>RAN2 to consider the RACH reconfiguration for mobile IAB-DU</w:t>
      </w:r>
      <w:r>
        <w:rPr>
          <w:rFonts w:hint="default" w:eastAsia="等线"/>
          <w:b/>
          <w:bCs/>
          <w:lang w:val="en-US" w:eastAsia="zh-CN"/>
        </w:rPr>
        <w:t>’</w:t>
      </w:r>
      <w:r>
        <w:rPr>
          <w:rFonts w:hint="eastAsia" w:eastAsia="等线"/>
          <w:b/>
          <w:bCs/>
          <w:lang w:val="en-US" w:eastAsia="zh-CN"/>
        </w:rPr>
        <w:t>s cell during the HO preparation phase of co-</w:t>
      </w:r>
      <w:bookmarkStart w:id="3" w:name="_GoBack"/>
      <w:bookmarkEnd w:id="3"/>
      <w:r>
        <w:rPr>
          <w:rFonts w:hint="eastAsia" w:eastAsia="等线"/>
          <w:b/>
          <w:bCs/>
          <w:lang w:val="en-US" w:eastAsia="zh-CN"/>
        </w:rPr>
        <w:t>located mobile IAB-MT.</w:t>
      </w:r>
    </w:p>
    <w:p>
      <w:pPr>
        <w:jc w:val="both"/>
        <w:rPr>
          <w:rFonts w:hint="default"/>
          <w:b/>
          <w:bCs/>
          <w:lang w:val="en-US" w:eastAsia="zh-CN"/>
        </w:rPr>
      </w:pPr>
      <w:r>
        <w:rPr>
          <w:rFonts w:hint="eastAsia"/>
          <w:b/>
          <w:bCs/>
          <w:lang w:val="en-US" w:eastAsia="zh-CN"/>
        </w:rPr>
        <w:t>Proposal 9: To ensure the</w:t>
      </w:r>
      <w:r>
        <w:rPr>
          <w:b/>
          <w:bCs/>
        </w:rPr>
        <w:t xml:space="preserve"> Earth-stationary</w:t>
      </w:r>
      <w:r>
        <w:rPr>
          <w:rFonts w:hint="eastAsia"/>
          <w:b/>
          <w:bCs/>
          <w:lang w:val="en-US" w:eastAsia="zh-CN"/>
        </w:rPr>
        <w:t xml:space="preserve"> TA concept, it is suggested to leverage the </w:t>
      </w:r>
      <w:r>
        <w:rPr>
          <w:rFonts w:hint="eastAsia"/>
          <w:b/>
          <w:bCs/>
          <w:highlight w:val="none"/>
          <w:lang w:val="en-US" w:eastAsia="zh-CN"/>
        </w:rPr>
        <w:t xml:space="preserve">tracking area handling of NR satellite access for mobile IAB, i.e . change the TAC values </w:t>
      </w:r>
      <w:r>
        <w:rPr>
          <w:b/>
          <w:bCs/>
        </w:rPr>
        <w:t xml:space="preserve">that are broadcast in a </w:t>
      </w:r>
      <w:r>
        <w:rPr>
          <w:rFonts w:hint="eastAsia"/>
          <w:b/>
          <w:bCs/>
          <w:lang w:val="en-US" w:eastAsia="zh-CN"/>
        </w:rPr>
        <w:t xml:space="preserve">mobile IAB </w:t>
      </w:r>
      <w:r>
        <w:rPr>
          <w:b/>
          <w:bCs/>
        </w:rPr>
        <w:t xml:space="preserve">cell's system information as the </w:t>
      </w:r>
      <w:r>
        <w:rPr>
          <w:rFonts w:hint="eastAsia"/>
          <w:b/>
          <w:bCs/>
          <w:lang w:val="en-US" w:eastAsia="zh-CN"/>
        </w:rPr>
        <w:t>mobile IAB</w:t>
      </w:r>
      <w:r>
        <w:rPr>
          <w:b/>
          <w:bCs/>
        </w:rPr>
        <w:t xml:space="preserve"> moves</w:t>
      </w:r>
      <w:r>
        <w:rPr>
          <w:rFonts w:hint="eastAsia"/>
          <w:b/>
          <w:bCs/>
          <w:lang w:val="en-US" w:eastAsia="zh-CN"/>
        </w:rPr>
        <w:t xml:space="preserve">. </w:t>
      </w:r>
    </w:p>
    <w:p>
      <w:pPr>
        <w:numPr>
          <w:ilvl w:val="0"/>
          <w:numId w:val="0"/>
        </w:numPr>
        <w:ind w:leftChars="0"/>
        <w:jc w:val="both"/>
        <w:rPr>
          <w:rFonts w:hint="default"/>
          <w:b/>
          <w:bCs/>
          <w:highlight w:val="none"/>
          <w:lang w:val="en-US" w:eastAsia="zh-CN"/>
        </w:rPr>
      </w:pPr>
      <w:r>
        <w:rPr>
          <w:rFonts w:hint="eastAsia" w:cs="Times New Roman"/>
          <w:b/>
          <w:bCs/>
          <w:sz w:val="21"/>
          <w:szCs w:val="21"/>
          <w:lang w:val="en-US" w:eastAsia="zh-CN"/>
        </w:rPr>
        <w:t>Proposal 10: For the RNA configuration via RANAC, the RANAC values that are broadcast by mobile IAB-DU</w:t>
      </w:r>
      <w:r>
        <w:rPr>
          <w:rFonts w:hint="default" w:cs="Times New Roman"/>
          <w:b/>
          <w:bCs/>
          <w:sz w:val="21"/>
          <w:szCs w:val="21"/>
          <w:lang w:val="en-US" w:eastAsia="zh-CN"/>
        </w:rPr>
        <w:t>’</w:t>
      </w:r>
      <w:r>
        <w:rPr>
          <w:rFonts w:hint="eastAsia" w:cs="Times New Roman"/>
          <w:b/>
          <w:bCs/>
          <w:sz w:val="21"/>
          <w:szCs w:val="21"/>
          <w:lang w:val="en-US" w:eastAsia="zh-CN"/>
        </w:rPr>
        <w:t xml:space="preserve">s cells may </w:t>
      </w:r>
      <w:r>
        <w:rPr>
          <w:rFonts w:hint="eastAsia"/>
          <w:b/>
          <w:bCs/>
          <w:highlight w:val="none"/>
          <w:lang w:val="en-US" w:eastAsia="zh-CN"/>
        </w:rPr>
        <w:t>change with the serving donor.</w:t>
      </w:r>
    </w:p>
    <w:p>
      <w:pPr>
        <w:jc w:val="both"/>
        <w:rPr>
          <w:rFonts w:hint="eastAsia" w:eastAsia="等线"/>
          <w:b/>
          <w:bCs/>
          <w:lang w:val="en-US" w:eastAsia="zh-CN"/>
        </w:rPr>
      </w:pPr>
      <w:r>
        <w:rPr>
          <w:rFonts w:hint="eastAsia"/>
          <w:b/>
          <w:bCs/>
          <w:sz w:val="20"/>
          <w:szCs w:val="20"/>
          <w:highlight w:val="none"/>
          <w:lang w:val="en-US" w:eastAsia="zh-CN"/>
        </w:rPr>
        <w:t xml:space="preserve">Proposal 11: For the RNA configuration via RANAC, the UE may </w:t>
      </w:r>
      <w:r>
        <w:rPr>
          <w:rFonts w:hint="eastAsia" w:cs="Times New Roman"/>
          <w:b/>
          <w:bCs/>
          <w:sz w:val="21"/>
          <w:szCs w:val="21"/>
          <w:highlight w:val="none"/>
          <w:lang w:val="en-US" w:eastAsia="zh-CN"/>
        </w:rPr>
        <w:t>replace the old NCGI with new NCGI of mobile IAB-node-DU</w:t>
      </w:r>
      <w:r>
        <w:rPr>
          <w:rFonts w:hint="default" w:cs="Times New Roman"/>
          <w:b/>
          <w:bCs/>
          <w:sz w:val="21"/>
          <w:szCs w:val="21"/>
          <w:highlight w:val="none"/>
          <w:lang w:val="en-US" w:eastAsia="zh-CN"/>
        </w:rPr>
        <w:t>’</w:t>
      </w:r>
      <w:r>
        <w:rPr>
          <w:rFonts w:hint="eastAsia" w:cs="Times New Roman"/>
          <w:b/>
          <w:bCs/>
          <w:sz w:val="21"/>
          <w:szCs w:val="21"/>
          <w:highlight w:val="none"/>
          <w:lang w:val="en-US" w:eastAsia="zh-CN"/>
        </w:rPr>
        <w:t>s cell for the cells included in the RNA configuration.</w:t>
      </w:r>
    </w:p>
    <w:p>
      <w:pPr>
        <w:jc w:val="both"/>
        <w:rPr>
          <w:rFonts w:hint="default"/>
          <w:b/>
          <w:bCs/>
          <w:lang w:val="en-US" w:eastAsia="zh-CN"/>
        </w:rPr>
      </w:pPr>
      <w:r>
        <w:rPr>
          <w:rFonts w:hint="eastAsia"/>
          <w:b/>
          <w:bCs/>
          <w:lang w:val="en-US" w:eastAsia="zh-CN"/>
        </w:rPr>
        <w:t>Proposal 12: New triggering condition for CHO could be defined or a triggering indication could be sent by the donor/mobile IAB node to the Rel-18 UEs to trigger the execution of CHO.</w:t>
      </w:r>
    </w:p>
    <w:p>
      <w:pPr>
        <w:pStyle w:val="2"/>
        <w:rPr>
          <w:rFonts w:eastAsia="宋体"/>
          <w:lang w:eastAsia="zh-CN"/>
        </w:rPr>
      </w:pPr>
      <w:r>
        <w:rPr>
          <w:rFonts w:hint="eastAsia" w:eastAsia="宋体"/>
          <w:lang w:eastAsia="zh-CN"/>
        </w:rPr>
        <w:t>Reference</w:t>
      </w:r>
    </w:p>
    <w:p>
      <w:pPr>
        <w:numPr>
          <w:ilvl w:val="0"/>
          <w:numId w:val="15"/>
        </w:numPr>
        <w:rPr>
          <w:rFonts w:hint="default"/>
          <w:lang w:val="en-US" w:eastAsia="zh-CN"/>
        </w:rPr>
      </w:pPr>
      <w:r>
        <w:rPr>
          <w:rFonts w:hint="eastAsia"/>
          <w:sz w:val="20"/>
          <w:szCs w:val="20"/>
          <w:lang w:val="en-US" w:eastAsia="zh-CN"/>
        </w:rPr>
        <w:t>RAN2#119 Chairman notes.</w:t>
      </w:r>
    </w:p>
    <w:sectPr>
      <w:footerReference r:id="rId3"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MS UI Gothic"/>
    <w:panose1 w:val="02020609040205080304"/>
    <w:charset w:val="80"/>
    <w:family w:val="moder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40001" w:csb1="00000000"/>
  </w:font>
  <w:font w:name="STIXTwoText">
    <w:altName w:val="微软雅黑"/>
    <w:panose1 w:val="00000000000000000000"/>
    <w:charset w:val="86"/>
    <w:family w:val="auto"/>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Dutch801BT-Roman">
    <w:altName w:val="Segoe Print"/>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4212C9"/>
    <w:multiLevelType w:val="singleLevel"/>
    <w:tmpl w:val="944212C9"/>
    <w:lvl w:ilvl="0" w:tentative="0">
      <w:start w:val="1"/>
      <w:numFmt w:val="decimal"/>
      <w:suff w:val="space"/>
      <w:lvlText w:val="[%1]"/>
      <w:lvlJc w:val="left"/>
    </w:lvl>
  </w:abstractNum>
  <w:abstractNum w:abstractNumId="1">
    <w:nsid w:val="D7DFD104"/>
    <w:multiLevelType w:val="singleLevel"/>
    <w:tmpl w:val="D7DFD104"/>
    <w:lvl w:ilvl="0" w:tentative="0">
      <w:start w:val="1"/>
      <w:numFmt w:val="bullet"/>
      <w:lvlText w:val=""/>
      <w:lvlJc w:val="left"/>
      <w:pPr>
        <w:ind w:left="420" w:hanging="420"/>
      </w:pPr>
      <w:rPr>
        <w:rFonts w:hint="default" w:ascii="Wingdings" w:hAnsi="Wingdings"/>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7"/>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1"/>
      <w:suff w:val="space"/>
      <w:lvlText w:val="表%9"/>
      <w:lvlJc w:val="center"/>
      <w:pPr>
        <w:ind w:left="284" w:firstLine="0"/>
      </w:pPr>
      <w:rPr>
        <w:rFonts w:hint="default" w:ascii="Arial" w:hAnsi="Arial" w:eastAsia="黑体"/>
        <w:b w:val="0"/>
        <w:i w:val="0"/>
        <w:sz w:val="18"/>
        <w:szCs w:val="18"/>
      </w:rPr>
    </w:lvl>
  </w:abstractNum>
  <w:abstractNum w:abstractNumId="3">
    <w:nsid w:val="0D367570"/>
    <w:multiLevelType w:val="multilevel"/>
    <w:tmpl w:val="0D367570"/>
    <w:lvl w:ilvl="0" w:tentative="0">
      <w:start w:val="1"/>
      <w:numFmt w:val="decimal"/>
      <w:pStyle w:val="73"/>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4">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3AA46647"/>
    <w:multiLevelType w:val="multilevel"/>
    <w:tmpl w:val="3AA46647"/>
    <w:lvl w:ilvl="0" w:tentative="0">
      <w:start w:val="1"/>
      <w:numFmt w:val="decimal"/>
      <w:pStyle w:val="6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4DB417B"/>
    <w:multiLevelType w:val="multilevel"/>
    <w:tmpl w:val="44DB417B"/>
    <w:lvl w:ilvl="0" w:tentative="0">
      <w:start w:val="1"/>
      <w:numFmt w:val="decimal"/>
      <w:pStyle w:val="6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4BDF65F6"/>
    <w:multiLevelType w:val="multilevel"/>
    <w:tmpl w:val="4BDF65F6"/>
    <w:lvl w:ilvl="0" w:tentative="0">
      <w:start w:val="1"/>
      <w:numFmt w:val="decimal"/>
      <w:pStyle w:val="12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66"/>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2CA544A"/>
    <w:multiLevelType w:val="singleLevel"/>
    <w:tmpl w:val="52CA544A"/>
    <w:lvl w:ilvl="0" w:tentative="0">
      <w:start w:val="1"/>
      <w:numFmt w:val="decimal"/>
      <w:pStyle w:val="11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0">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1">
    <w:nsid w:val="6AD4210A"/>
    <w:multiLevelType w:val="singleLevel"/>
    <w:tmpl w:val="6AD4210A"/>
    <w:lvl w:ilvl="0" w:tentative="0">
      <w:start w:val="1"/>
      <w:numFmt w:val="decimalZero"/>
      <w:pStyle w:val="65"/>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2">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24A7491"/>
    <w:multiLevelType w:val="singleLevel"/>
    <w:tmpl w:val="724A7491"/>
    <w:lvl w:ilvl="0" w:tentative="0">
      <w:start w:val="1"/>
      <w:numFmt w:val="bullet"/>
      <w:lvlText w:val=""/>
      <w:lvlJc w:val="left"/>
      <w:pPr>
        <w:ind w:left="420" w:hanging="420"/>
      </w:pPr>
      <w:rPr>
        <w:rFonts w:hint="default" w:ascii="Wingdings" w:hAnsi="Wingdings"/>
      </w:rPr>
    </w:lvl>
  </w:abstractNum>
  <w:abstractNum w:abstractNumId="14">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10"/>
  </w:num>
  <w:num w:numId="4">
    <w:abstractNumId w:val="6"/>
  </w:num>
  <w:num w:numId="5">
    <w:abstractNumId w:val="11"/>
  </w:num>
  <w:num w:numId="6">
    <w:abstractNumId w:val="8"/>
  </w:num>
  <w:num w:numId="7">
    <w:abstractNumId w:val="5"/>
  </w:num>
  <w:num w:numId="8">
    <w:abstractNumId w:val="14"/>
  </w:num>
  <w:num w:numId="9">
    <w:abstractNumId w:val="3"/>
  </w:num>
  <w:num w:numId="10">
    <w:abstractNumId w:val="12"/>
  </w:num>
  <w:num w:numId="11">
    <w:abstractNumId w:val="9"/>
  </w:num>
  <w:num w:numId="12">
    <w:abstractNumId w:val="7"/>
  </w:num>
  <w:num w:numId="13">
    <w:abstractNumId w:val="1"/>
  </w:num>
  <w:num w:numId="14">
    <w:abstractNumId w:val="1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1AD"/>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3D59"/>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7221F"/>
    <w:rsid w:val="0113356D"/>
    <w:rsid w:val="01261783"/>
    <w:rsid w:val="012C7790"/>
    <w:rsid w:val="013A4C6E"/>
    <w:rsid w:val="013B40A1"/>
    <w:rsid w:val="013B7B86"/>
    <w:rsid w:val="01445AC8"/>
    <w:rsid w:val="014F5AEC"/>
    <w:rsid w:val="01597E34"/>
    <w:rsid w:val="015D46BF"/>
    <w:rsid w:val="016B6E25"/>
    <w:rsid w:val="01791CB2"/>
    <w:rsid w:val="018121F4"/>
    <w:rsid w:val="0187447D"/>
    <w:rsid w:val="01AB65A1"/>
    <w:rsid w:val="01B015B0"/>
    <w:rsid w:val="01B13133"/>
    <w:rsid w:val="01B60586"/>
    <w:rsid w:val="01C2533B"/>
    <w:rsid w:val="01CC21F9"/>
    <w:rsid w:val="01E350D1"/>
    <w:rsid w:val="01EE7061"/>
    <w:rsid w:val="01EF2C9E"/>
    <w:rsid w:val="01FD79B8"/>
    <w:rsid w:val="02067CF9"/>
    <w:rsid w:val="02072962"/>
    <w:rsid w:val="021B2FD6"/>
    <w:rsid w:val="02221303"/>
    <w:rsid w:val="023853F6"/>
    <w:rsid w:val="023B380D"/>
    <w:rsid w:val="02562A14"/>
    <w:rsid w:val="025B5430"/>
    <w:rsid w:val="02674F36"/>
    <w:rsid w:val="026D607F"/>
    <w:rsid w:val="026F5973"/>
    <w:rsid w:val="027B1D57"/>
    <w:rsid w:val="027F793D"/>
    <w:rsid w:val="02865A1B"/>
    <w:rsid w:val="028B2766"/>
    <w:rsid w:val="028C3C3A"/>
    <w:rsid w:val="029E07FE"/>
    <w:rsid w:val="02B5652D"/>
    <w:rsid w:val="02CB0E0D"/>
    <w:rsid w:val="02D8526C"/>
    <w:rsid w:val="02EB38B9"/>
    <w:rsid w:val="02EE0E74"/>
    <w:rsid w:val="02F22456"/>
    <w:rsid w:val="030026D0"/>
    <w:rsid w:val="0300644B"/>
    <w:rsid w:val="03024BFE"/>
    <w:rsid w:val="03125D81"/>
    <w:rsid w:val="0335007C"/>
    <w:rsid w:val="03393D83"/>
    <w:rsid w:val="033C5EC0"/>
    <w:rsid w:val="03413437"/>
    <w:rsid w:val="034C18E0"/>
    <w:rsid w:val="034E210F"/>
    <w:rsid w:val="034E4466"/>
    <w:rsid w:val="035A3386"/>
    <w:rsid w:val="036E7530"/>
    <w:rsid w:val="03700661"/>
    <w:rsid w:val="03734967"/>
    <w:rsid w:val="03737E86"/>
    <w:rsid w:val="03741A76"/>
    <w:rsid w:val="03755849"/>
    <w:rsid w:val="03904624"/>
    <w:rsid w:val="039F105A"/>
    <w:rsid w:val="039F2528"/>
    <w:rsid w:val="03A77CDB"/>
    <w:rsid w:val="03AD7917"/>
    <w:rsid w:val="03C71ADF"/>
    <w:rsid w:val="03CF66D4"/>
    <w:rsid w:val="03D4423A"/>
    <w:rsid w:val="03DB11E2"/>
    <w:rsid w:val="03E347BB"/>
    <w:rsid w:val="03EC32C2"/>
    <w:rsid w:val="03FC1918"/>
    <w:rsid w:val="040410D3"/>
    <w:rsid w:val="04163756"/>
    <w:rsid w:val="041D6249"/>
    <w:rsid w:val="042B0263"/>
    <w:rsid w:val="04382996"/>
    <w:rsid w:val="043D67B9"/>
    <w:rsid w:val="04527941"/>
    <w:rsid w:val="045A1092"/>
    <w:rsid w:val="045C5F07"/>
    <w:rsid w:val="045D0B48"/>
    <w:rsid w:val="045E0609"/>
    <w:rsid w:val="046C366C"/>
    <w:rsid w:val="04790F5E"/>
    <w:rsid w:val="047E591B"/>
    <w:rsid w:val="04831DBD"/>
    <w:rsid w:val="048773BF"/>
    <w:rsid w:val="049156F6"/>
    <w:rsid w:val="049A6719"/>
    <w:rsid w:val="04A550ED"/>
    <w:rsid w:val="04AC246B"/>
    <w:rsid w:val="04AD43A5"/>
    <w:rsid w:val="04B43293"/>
    <w:rsid w:val="04D11A7E"/>
    <w:rsid w:val="04D51DB9"/>
    <w:rsid w:val="04DC3315"/>
    <w:rsid w:val="04E2571E"/>
    <w:rsid w:val="04EC7690"/>
    <w:rsid w:val="04ED10B5"/>
    <w:rsid w:val="04EE00C4"/>
    <w:rsid w:val="04F82945"/>
    <w:rsid w:val="05040A56"/>
    <w:rsid w:val="0506279A"/>
    <w:rsid w:val="05073FED"/>
    <w:rsid w:val="050C6378"/>
    <w:rsid w:val="050F171D"/>
    <w:rsid w:val="05134032"/>
    <w:rsid w:val="05175F4B"/>
    <w:rsid w:val="051C7CEF"/>
    <w:rsid w:val="052565BD"/>
    <w:rsid w:val="052E44DD"/>
    <w:rsid w:val="053643FD"/>
    <w:rsid w:val="054606C5"/>
    <w:rsid w:val="054B7138"/>
    <w:rsid w:val="05582B00"/>
    <w:rsid w:val="05587C20"/>
    <w:rsid w:val="05587DDA"/>
    <w:rsid w:val="05697BE0"/>
    <w:rsid w:val="056B2FD4"/>
    <w:rsid w:val="056B6CE4"/>
    <w:rsid w:val="056C3975"/>
    <w:rsid w:val="057435A4"/>
    <w:rsid w:val="057C43D0"/>
    <w:rsid w:val="05847557"/>
    <w:rsid w:val="058477EE"/>
    <w:rsid w:val="05872E56"/>
    <w:rsid w:val="058764CA"/>
    <w:rsid w:val="05907FB7"/>
    <w:rsid w:val="059241C7"/>
    <w:rsid w:val="05A66E3E"/>
    <w:rsid w:val="05AA4F24"/>
    <w:rsid w:val="05AB32C0"/>
    <w:rsid w:val="05BE5BD9"/>
    <w:rsid w:val="05BF6ECE"/>
    <w:rsid w:val="05CF6C96"/>
    <w:rsid w:val="05D0636F"/>
    <w:rsid w:val="05DA01E8"/>
    <w:rsid w:val="05DA651D"/>
    <w:rsid w:val="05E1635E"/>
    <w:rsid w:val="05E17DA4"/>
    <w:rsid w:val="05E22635"/>
    <w:rsid w:val="05E43172"/>
    <w:rsid w:val="05E765A1"/>
    <w:rsid w:val="05EC0947"/>
    <w:rsid w:val="05F25E08"/>
    <w:rsid w:val="06023813"/>
    <w:rsid w:val="06051705"/>
    <w:rsid w:val="06056BE7"/>
    <w:rsid w:val="06281D5E"/>
    <w:rsid w:val="0628331F"/>
    <w:rsid w:val="062A1949"/>
    <w:rsid w:val="06367268"/>
    <w:rsid w:val="06443493"/>
    <w:rsid w:val="064C02D3"/>
    <w:rsid w:val="06525D08"/>
    <w:rsid w:val="066327A9"/>
    <w:rsid w:val="06632969"/>
    <w:rsid w:val="0665774C"/>
    <w:rsid w:val="06667182"/>
    <w:rsid w:val="06911F5C"/>
    <w:rsid w:val="069D7084"/>
    <w:rsid w:val="06A505BC"/>
    <w:rsid w:val="06BE54F4"/>
    <w:rsid w:val="06C97CEE"/>
    <w:rsid w:val="06D250A7"/>
    <w:rsid w:val="06E1106D"/>
    <w:rsid w:val="06FC6542"/>
    <w:rsid w:val="07016055"/>
    <w:rsid w:val="07155AB1"/>
    <w:rsid w:val="07273FDB"/>
    <w:rsid w:val="07283F32"/>
    <w:rsid w:val="073902B1"/>
    <w:rsid w:val="073C49D1"/>
    <w:rsid w:val="07400AA7"/>
    <w:rsid w:val="07486414"/>
    <w:rsid w:val="075375FC"/>
    <w:rsid w:val="075E7FC5"/>
    <w:rsid w:val="07620519"/>
    <w:rsid w:val="07620F20"/>
    <w:rsid w:val="0765096C"/>
    <w:rsid w:val="077723B5"/>
    <w:rsid w:val="079048B0"/>
    <w:rsid w:val="079506D6"/>
    <w:rsid w:val="079D224E"/>
    <w:rsid w:val="07A10EF9"/>
    <w:rsid w:val="07A24DAE"/>
    <w:rsid w:val="07A53007"/>
    <w:rsid w:val="07B050BB"/>
    <w:rsid w:val="07B445EC"/>
    <w:rsid w:val="07CB1AF5"/>
    <w:rsid w:val="07E14486"/>
    <w:rsid w:val="07E5651E"/>
    <w:rsid w:val="07E85F02"/>
    <w:rsid w:val="07E95786"/>
    <w:rsid w:val="07E962E5"/>
    <w:rsid w:val="07F05A0E"/>
    <w:rsid w:val="07FD5B8D"/>
    <w:rsid w:val="08011AB9"/>
    <w:rsid w:val="080B6FBF"/>
    <w:rsid w:val="08136966"/>
    <w:rsid w:val="081C427F"/>
    <w:rsid w:val="08256D5F"/>
    <w:rsid w:val="0828415E"/>
    <w:rsid w:val="082A0683"/>
    <w:rsid w:val="082A4AB6"/>
    <w:rsid w:val="08546140"/>
    <w:rsid w:val="085553E0"/>
    <w:rsid w:val="08586256"/>
    <w:rsid w:val="085C2F12"/>
    <w:rsid w:val="08620356"/>
    <w:rsid w:val="086473A8"/>
    <w:rsid w:val="08657BAD"/>
    <w:rsid w:val="08671BA5"/>
    <w:rsid w:val="08672738"/>
    <w:rsid w:val="086F08E5"/>
    <w:rsid w:val="08755DF6"/>
    <w:rsid w:val="088870BE"/>
    <w:rsid w:val="08946327"/>
    <w:rsid w:val="08991A37"/>
    <w:rsid w:val="08A3261C"/>
    <w:rsid w:val="08A55570"/>
    <w:rsid w:val="08A57E75"/>
    <w:rsid w:val="08AA2CB0"/>
    <w:rsid w:val="08B102C9"/>
    <w:rsid w:val="08BA285B"/>
    <w:rsid w:val="08BE469E"/>
    <w:rsid w:val="08C86118"/>
    <w:rsid w:val="08D73FF1"/>
    <w:rsid w:val="08DA0C6D"/>
    <w:rsid w:val="08E24EC4"/>
    <w:rsid w:val="08EE0A8E"/>
    <w:rsid w:val="08FB4811"/>
    <w:rsid w:val="08FE14A3"/>
    <w:rsid w:val="08FF2520"/>
    <w:rsid w:val="09044FDC"/>
    <w:rsid w:val="09063FA8"/>
    <w:rsid w:val="09112BA7"/>
    <w:rsid w:val="0912587B"/>
    <w:rsid w:val="092A0717"/>
    <w:rsid w:val="092F6CCC"/>
    <w:rsid w:val="093022B2"/>
    <w:rsid w:val="093422B8"/>
    <w:rsid w:val="09352B58"/>
    <w:rsid w:val="093E6F4A"/>
    <w:rsid w:val="09457234"/>
    <w:rsid w:val="094729AB"/>
    <w:rsid w:val="094E719C"/>
    <w:rsid w:val="095E7DCF"/>
    <w:rsid w:val="096B03FF"/>
    <w:rsid w:val="096F777B"/>
    <w:rsid w:val="098113B0"/>
    <w:rsid w:val="09823672"/>
    <w:rsid w:val="09A343B5"/>
    <w:rsid w:val="09B55CF9"/>
    <w:rsid w:val="09BC2E8E"/>
    <w:rsid w:val="09CE25F7"/>
    <w:rsid w:val="09DF294B"/>
    <w:rsid w:val="0A100F96"/>
    <w:rsid w:val="0A16495D"/>
    <w:rsid w:val="0A17231B"/>
    <w:rsid w:val="0A1A2468"/>
    <w:rsid w:val="0A1F2C48"/>
    <w:rsid w:val="0A254FCC"/>
    <w:rsid w:val="0A285D20"/>
    <w:rsid w:val="0A312D3F"/>
    <w:rsid w:val="0A3F15DC"/>
    <w:rsid w:val="0A466F2A"/>
    <w:rsid w:val="0A486B7B"/>
    <w:rsid w:val="0A4A3B10"/>
    <w:rsid w:val="0A507EE1"/>
    <w:rsid w:val="0A53785F"/>
    <w:rsid w:val="0A5F4A05"/>
    <w:rsid w:val="0A623302"/>
    <w:rsid w:val="0A661320"/>
    <w:rsid w:val="0A681411"/>
    <w:rsid w:val="0A6F3848"/>
    <w:rsid w:val="0A7A68E3"/>
    <w:rsid w:val="0A8E5BE2"/>
    <w:rsid w:val="0A900244"/>
    <w:rsid w:val="0AB0238C"/>
    <w:rsid w:val="0AB720D0"/>
    <w:rsid w:val="0AD01757"/>
    <w:rsid w:val="0AD35BE6"/>
    <w:rsid w:val="0AD4318C"/>
    <w:rsid w:val="0AE55AD1"/>
    <w:rsid w:val="0AF972F4"/>
    <w:rsid w:val="0AFA009A"/>
    <w:rsid w:val="0B003BCD"/>
    <w:rsid w:val="0B003DE2"/>
    <w:rsid w:val="0B0126CF"/>
    <w:rsid w:val="0B077BAA"/>
    <w:rsid w:val="0B092D5E"/>
    <w:rsid w:val="0B0F01DA"/>
    <w:rsid w:val="0B103642"/>
    <w:rsid w:val="0B124E30"/>
    <w:rsid w:val="0B192BA7"/>
    <w:rsid w:val="0B1D70C8"/>
    <w:rsid w:val="0B207705"/>
    <w:rsid w:val="0B286CBC"/>
    <w:rsid w:val="0B423423"/>
    <w:rsid w:val="0B481F97"/>
    <w:rsid w:val="0B567FFC"/>
    <w:rsid w:val="0B5B4FF5"/>
    <w:rsid w:val="0B787CAC"/>
    <w:rsid w:val="0B7C2D77"/>
    <w:rsid w:val="0B7E1425"/>
    <w:rsid w:val="0B7E33BD"/>
    <w:rsid w:val="0B8067A3"/>
    <w:rsid w:val="0B937DA3"/>
    <w:rsid w:val="0B966DC2"/>
    <w:rsid w:val="0B9C5390"/>
    <w:rsid w:val="0BA72814"/>
    <w:rsid w:val="0BA74CF3"/>
    <w:rsid w:val="0BA75465"/>
    <w:rsid w:val="0BB1203A"/>
    <w:rsid w:val="0BB52A88"/>
    <w:rsid w:val="0BB635B6"/>
    <w:rsid w:val="0BC0582C"/>
    <w:rsid w:val="0BC97B87"/>
    <w:rsid w:val="0BCD0386"/>
    <w:rsid w:val="0BD11EF8"/>
    <w:rsid w:val="0BDB3DBB"/>
    <w:rsid w:val="0BE520E1"/>
    <w:rsid w:val="0BE95B4B"/>
    <w:rsid w:val="0BF04964"/>
    <w:rsid w:val="0BFF695F"/>
    <w:rsid w:val="0C017C43"/>
    <w:rsid w:val="0C0F6DC6"/>
    <w:rsid w:val="0C1755A0"/>
    <w:rsid w:val="0C20092E"/>
    <w:rsid w:val="0C233E57"/>
    <w:rsid w:val="0C3C25DF"/>
    <w:rsid w:val="0C3F3D43"/>
    <w:rsid w:val="0C47223F"/>
    <w:rsid w:val="0C484828"/>
    <w:rsid w:val="0C4E33C8"/>
    <w:rsid w:val="0C5F1CE0"/>
    <w:rsid w:val="0C610FD5"/>
    <w:rsid w:val="0C641E89"/>
    <w:rsid w:val="0C7A0C33"/>
    <w:rsid w:val="0C8758EB"/>
    <w:rsid w:val="0C95396A"/>
    <w:rsid w:val="0C9C0BC6"/>
    <w:rsid w:val="0C9D2EE3"/>
    <w:rsid w:val="0CA95EE8"/>
    <w:rsid w:val="0CAA3776"/>
    <w:rsid w:val="0CAA584B"/>
    <w:rsid w:val="0CAC41AE"/>
    <w:rsid w:val="0CB337AA"/>
    <w:rsid w:val="0CC45E50"/>
    <w:rsid w:val="0CC868A7"/>
    <w:rsid w:val="0CCB2AFA"/>
    <w:rsid w:val="0CD07B3D"/>
    <w:rsid w:val="0CE4374C"/>
    <w:rsid w:val="0CF86EA2"/>
    <w:rsid w:val="0D090A9B"/>
    <w:rsid w:val="0D0B3AE7"/>
    <w:rsid w:val="0D1B7692"/>
    <w:rsid w:val="0D25736F"/>
    <w:rsid w:val="0D2974B3"/>
    <w:rsid w:val="0D2E50C1"/>
    <w:rsid w:val="0D315A17"/>
    <w:rsid w:val="0D4450E8"/>
    <w:rsid w:val="0D446417"/>
    <w:rsid w:val="0D473C1A"/>
    <w:rsid w:val="0D5153C6"/>
    <w:rsid w:val="0D546E25"/>
    <w:rsid w:val="0D561F10"/>
    <w:rsid w:val="0D681B0E"/>
    <w:rsid w:val="0D6876BC"/>
    <w:rsid w:val="0D76077C"/>
    <w:rsid w:val="0D796521"/>
    <w:rsid w:val="0D7E5C19"/>
    <w:rsid w:val="0D8B330B"/>
    <w:rsid w:val="0D930B9B"/>
    <w:rsid w:val="0D9533A2"/>
    <w:rsid w:val="0D9B02A5"/>
    <w:rsid w:val="0DAB6775"/>
    <w:rsid w:val="0DB827DE"/>
    <w:rsid w:val="0DCD68E1"/>
    <w:rsid w:val="0DD6175F"/>
    <w:rsid w:val="0E02571A"/>
    <w:rsid w:val="0E04044F"/>
    <w:rsid w:val="0E040C64"/>
    <w:rsid w:val="0E0B4BF2"/>
    <w:rsid w:val="0E0D46A1"/>
    <w:rsid w:val="0E195F3C"/>
    <w:rsid w:val="0E1E06DD"/>
    <w:rsid w:val="0E2B3498"/>
    <w:rsid w:val="0E410195"/>
    <w:rsid w:val="0E4E17BA"/>
    <w:rsid w:val="0E537E47"/>
    <w:rsid w:val="0E63577F"/>
    <w:rsid w:val="0E6C1770"/>
    <w:rsid w:val="0E746972"/>
    <w:rsid w:val="0E874158"/>
    <w:rsid w:val="0E912655"/>
    <w:rsid w:val="0E936C61"/>
    <w:rsid w:val="0E945725"/>
    <w:rsid w:val="0E9B667F"/>
    <w:rsid w:val="0EB648ED"/>
    <w:rsid w:val="0EB76970"/>
    <w:rsid w:val="0EBD130E"/>
    <w:rsid w:val="0EC10662"/>
    <w:rsid w:val="0ED23F89"/>
    <w:rsid w:val="0EFC7DA7"/>
    <w:rsid w:val="0EFE523A"/>
    <w:rsid w:val="0F142574"/>
    <w:rsid w:val="0F245617"/>
    <w:rsid w:val="0F46488F"/>
    <w:rsid w:val="0F4C36C8"/>
    <w:rsid w:val="0F5F0E06"/>
    <w:rsid w:val="0F640159"/>
    <w:rsid w:val="0F6C61FA"/>
    <w:rsid w:val="0F7052E6"/>
    <w:rsid w:val="0F772B49"/>
    <w:rsid w:val="0F7D7A1F"/>
    <w:rsid w:val="0F802E0A"/>
    <w:rsid w:val="0F805F18"/>
    <w:rsid w:val="0F8A366F"/>
    <w:rsid w:val="0F8C1716"/>
    <w:rsid w:val="0F966505"/>
    <w:rsid w:val="0F9930A4"/>
    <w:rsid w:val="0F9B5B18"/>
    <w:rsid w:val="0F9E41B4"/>
    <w:rsid w:val="0F9F05E5"/>
    <w:rsid w:val="0FA846DC"/>
    <w:rsid w:val="0FAF752F"/>
    <w:rsid w:val="0FB72C2B"/>
    <w:rsid w:val="0FCA20EB"/>
    <w:rsid w:val="0FCD0C7F"/>
    <w:rsid w:val="0FCD1445"/>
    <w:rsid w:val="0FCD2861"/>
    <w:rsid w:val="0FD36F03"/>
    <w:rsid w:val="0FD95BF4"/>
    <w:rsid w:val="0FDA54AA"/>
    <w:rsid w:val="0FDD75AE"/>
    <w:rsid w:val="0FE46501"/>
    <w:rsid w:val="0FF237A8"/>
    <w:rsid w:val="10032C53"/>
    <w:rsid w:val="10161BA7"/>
    <w:rsid w:val="10244F0E"/>
    <w:rsid w:val="102E4420"/>
    <w:rsid w:val="1032683E"/>
    <w:rsid w:val="103F1735"/>
    <w:rsid w:val="10442CB0"/>
    <w:rsid w:val="104500A8"/>
    <w:rsid w:val="104F012F"/>
    <w:rsid w:val="106606A4"/>
    <w:rsid w:val="106C17A6"/>
    <w:rsid w:val="107A0C72"/>
    <w:rsid w:val="109C2255"/>
    <w:rsid w:val="10AE1171"/>
    <w:rsid w:val="10C97528"/>
    <w:rsid w:val="10CC36E9"/>
    <w:rsid w:val="10D1157C"/>
    <w:rsid w:val="10E55F62"/>
    <w:rsid w:val="10EE6FEE"/>
    <w:rsid w:val="11003578"/>
    <w:rsid w:val="11205E74"/>
    <w:rsid w:val="112325DA"/>
    <w:rsid w:val="112742FC"/>
    <w:rsid w:val="112F045E"/>
    <w:rsid w:val="11312E7E"/>
    <w:rsid w:val="114762BA"/>
    <w:rsid w:val="114B43DF"/>
    <w:rsid w:val="115C2787"/>
    <w:rsid w:val="1161496B"/>
    <w:rsid w:val="116C578C"/>
    <w:rsid w:val="11717B47"/>
    <w:rsid w:val="117637C2"/>
    <w:rsid w:val="117A5F3A"/>
    <w:rsid w:val="1184418C"/>
    <w:rsid w:val="11861AF7"/>
    <w:rsid w:val="11945129"/>
    <w:rsid w:val="119F6317"/>
    <w:rsid w:val="11B311F2"/>
    <w:rsid w:val="11B95C93"/>
    <w:rsid w:val="11C701F1"/>
    <w:rsid w:val="11CF7FCC"/>
    <w:rsid w:val="11D75F67"/>
    <w:rsid w:val="11E57F60"/>
    <w:rsid w:val="11F94E72"/>
    <w:rsid w:val="11FC5A74"/>
    <w:rsid w:val="120D3B15"/>
    <w:rsid w:val="12125816"/>
    <w:rsid w:val="121612D5"/>
    <w:rsid w:val="12184C28"/>
    <w:rsid w:val="12191BA7"/>
    <w:rsid w:val="12231E5A"/>
    <w:rsid w:val="1230189D"/>
    <w:rsid w:val="1238059C"/>
    <w:rsid w:val="123B06D9"/>
    <w:rsid w:val="123F5A51"/>
    <w:rsid w:val="12456C88"/>
    <w:rsid w:val="12505C6D"/>
    <w:rsid w:val="125509A0"/>
    <w:rsid w:val="12620E97"/>
    <w:rsid w:val="126C3536"/>
    <w:rsid w:val="126F1F4B"/>
    <w:rsid w:val="1273677B"/>
    <w:rsid w:val="127530AF"/>
    <w:rsid w:val="12766E6A"/>
    <w:rsid w:val="127D7052"/>
    <w:rsid w:val="12885826"/>
    <w:rsid w:val="128A4BF6"/>
    <w:rsid w:val="12932EFE"/>
    <w:rsid w:val="12951926"/>
    <w:rsid w:val="129D6F90"/>
    <w:rsid w:val="12C219F1"/>
    <w:rsid w:val="12CE19E6"/>
    <w:rsid w:val="12D533D2"/>
    <w:rsid w:val="12D752A3"/>
    <w:rsid w:val="12E26B3A"/>
    <w:rsid w:val="12EE33AC"/>
    <w:rsid w:val="12EF6841"/>
    <w:rsid w:val="12F571E9"/>
    <w:rsid w:val="13080271"/>
    <w:rsid w:val="1311514F"/>
    <w:rsid w:val="13204F53"/>
    <w:rsid w:val="13277783"/>
    <w:rsid w:val="132E5326"/>
    <w:rsid w:val="13306369"/>
    <w:rsid w:val="13520346"/>
    <w:rsid w:val="13567063"/>
    <w:rsid w:val="136233F0"/>
    <w:rsid w:val="136A2834"/>
    <w:rsid w:val="136E7FD4"/>
    <w:rsid w:val="13776D0E"/>
    <w:rsid w:val="1385132C"/>
    <w:rsid w:val="139216DF"/>
    <w:rsid w:val="13944245"/>
    <w:rsid w:val="13955C6C"/>
    <w:rsid w:val="1398651B"/>
    <w:rsid w:val="139B2B8A"/>
    <w:rsid w:val="139F6080"/>
    <w:rsid w:val="13A11A64"/>
    <w:rsid w:val="13B30B00"/>
    <w:rsid w:val="13B65DAA"/>
    <w:rsid w:val="13BC560A"/>
    <w:rsid w:val="13C6190E"/>
    <w:rsid w:val="13CD7DCF"/>
    <w:rsid w:val="13CE48B5"/>
    <w:rsid w:val="13D16758"/>
    <w:rsid w:val="13D347CA"/>
    <w:rsid w:val="13D830ED"/>
    <w:rsid w:val="13E3507A"/>
    <w:rsid w:val="13F36B6C"/>
    <w:rsid w:val="13F40DF1"/>
    <w:rsid w:val="13F66306"/>
    <w:rsid w:val="14094AFA"/>
    <w:rsid w:val="141F3605"/>
    <w:rsid w:val="14250E1C"/>
    <w:rsid w:val="142C08DC"/>
    <w:rsid w:val="142E1692"/>
    <w:rsid w:val="143203FE"/>
    <w:rsid w:val="143278A3"/>
    <w:rsid w:val="143F24FA"/>
    <w:rsid w:val="1446125F"/>
    <w:rsid w:val="1448114C"/>
    <w:rsid w:val="1448311D"/>
    <w:rsid w:val="144A597A"/>
    <w:rsid w:val="144A5CCA"/>
    <w:rsid w:val="14623392"/>
    <w:rsid w:val="146E08ED"/>
    <w:rsid w:val="147E2601"/>
    <w:rsid w:val="148B2701"/>
    <w:rsid w:val="1492399C"/>
    <w:rsid w:val="149A2E43"/>
    <w:rsid w:val="14A06EC2"/>
    <w:rsid w:val="14A23F95"/>
    <w:rsid w:val="14A27222"/>
    <w:rsid w:val="14AE12BA"/>
    <w:rsid w:val="14B73392"/>
    <w:rsid w:val="14C13FDB"/>
    <w:rsid w:val="14CE7B73"/>
    <w:rsid w:val="14D32724"/>
    <w:rsid w:val="14D84191"/>
    <w:rsid w:val="14E03043"/>
    <w:rsid w:val="14E0314C"/>
    <w:rsid w:val="14E435FC"/>
    <w:rsid w:val="14F45292"/>
    <w:rsid w:val="14F4722B"/>
    <w:rsid w:val="14F65C86"/>
    <w:rsid w:val="14F70046"/>
    <w:rsid w:val="14F76726"/>
    <w:rsid w:val="14FB45CA"/>
    <w:rsid w:val="150C1BA5"/>
    <w:rsid w:val="15125701"/>
    <w:rsid w:val="1516018E"/>
    <w:rsid w:val="151A2B60"/>
    <w:rsid w:val="15217D77"/>
    <w:rsid w:val="152A1E52"/>
    <w:rsid w:val="1542182D"/>
    <w:rsid w:val="15551327"/>
    <w:rsid w:val="15587802"/>
    <w:rsid w:val="15611C97"/>
    <w:rsid w:val="15714BE7"/>
    <w:rsid w:val="15777BF2"/>
    <w:rsid w:val="1587701B"/>
    <w:rsid w:val="158C19B1"/>
    <w:rsid w:val="15971401"/>
    <w:rsid w:val="15987EDF"/>
    <w:rsid w:val="159F6551"/>
    <w:rsid w:val="15AA6AD1"/>
    <w:rsid w:val="15AB1179"/>
    <w:rsid w:val="15B4366E"/>
    <w:rsid w:val="15B65D6A"/>
    <w:rsid w:val="15CB362E"/>
    <w:rsid w:val="15D61985"/>
    <w:rsid w:val="15E5132B"/>
    <w:rsid w:val="15E6781B"/>
    <w:rsid w:val="15EF0DB2"/>
    <w:rsid w:val="15F1298D"/>
    <w:rsid w:val="15F522CC"/>
    <w:rsid w:val="15F76C35"/>
    <w:rsid w:val="16043574"/>
    <w:rsid w:val="16046B5F"/>
    <w:rsid w:val="1611122E"/>
    <w:rsid w:val="161173BC"/>
    <w:rsid w:val="16122BF8"/>
    <w:rsid w:val="161B3EB7"/>
    <w:rsid w:val="162A047C"/>
    <w:rsid w:val="162B60F2"/>
    <w:rsid w:val="16304D58"/>
    <w:rsid w:val="16334D0D"/>
    <w:rsid w:val="164C001C"/>
    <w:rsid w:val="1651202D"/>
    <w:rsid w:val="16517D15"/>
    <w:rsid w:val="16670C23"/>
    <w:rsid w:val="167D764A"/>
    <w:rsid w:val="16837CFB"/>
    <w:rsid w:val="16862360"/>
    <w:rsid w:val="1692260F"/>
    <w:rsid w:val="16937F16"/>
    <w:rsid w:val="169B4C15"/>
    <w:rsid w:val="169D13F5"/>
    <w:rsid w:val="16A15054"/>
    <w:rsid w:val="16A2625D"/>
    <w:rsid w:val="16B430CC"/>
    <w:rsid w:val="16B6401E"/>
    <w:rsid w:val="16BC7120"/>
    <w:rsid w:val="16BD5D0A"/>
    <w:rsid w:val="16C15887"/>
    <w:rsid w:val="16CE62E2"/>
    <w:rsid w:val="16D33A58"/>
    <w:rsid w:val="16D50398"/>
    <w:rsid w:val="16D50F4C"/>
    <w:rsid w:val="16D92CE6"/>
    <w:rsid w:val="16DF4F27"/>
    <w:rsid w:val="16EA23DD"/>
    <w:rsid w:val="16F02920"/>
    <w:rsid w:val="16F14FB5"/>
    <w:rsid w:val="16F96F2D"/>
    <w:rsid w:val="17177DC1"/>
    <w:rsid w:val="172535D9"/>
    <w:rsid w:val="17382CF1"/>
    <w:rsid w:val="173B4178"/>
    <w:rsid w:val="17526985"/>
    <w:rsid w:val="175978D3"/>
    <w:rsid w:val="175A23F2"/>
    <w:rsid w:val="175D0D6F"/>
    <w:rsid w:val="17695B63"/>
    <w:rsid w:val="17741C8F"/>
    <w:rsid w:val="17760C6A"/>
    <w:rsid w:val="17761CC0"/>
    <w:rsid w:val="178E3CA5"/>
    <w:rsid w:val="178F21FA"/>
    <w:rsid w:val="17925944"/>
    <w:rsid w:val="179B0D1A"/>
    <w:rsid w:val="179B2E20"/>
    <w:rsid w:val="17B35CC8"/>
    <w:rsid w:val="17B62F19"/>
    <w:rsid w:val="17B95DA9"/>
    <w:rsid w:val="17CC48D8"/>
    <w:rsid w:val="17CC7250"/>
    <w:rsid w:val="17CD150B"/>
    <w:rsid w:val="17D44C75"/>
    <w:rsid w:val="17E83719"/>
    <w:rsid w:val="17F113E9"/>
    <w:rsid w:val="17F247BA"/>
    <w:rsid w:val="17F96EB0"/>
    <w:rsid w:val="181C4250"/>
    <w:rsid w:val="18242407"/>
    <w:rsid w:val="182C5AF0"/>
    <w:rsid w:val="183154EF"/>
    <w:rsid w:val="18315EEA"/>
    <w:rsid w:val="18392FA6"/>
    <w:rsid w:val="183B57AF"/>
    <w:rsid w:val="18401EB0"/>
    <w:rsid w:val="18465218"/>
    <w:rsid w:val="185126D5"/>
    <w:rsid w:val="185D1767"/>
    <w:rsid w:val="186E21A7"/>
    <w:rsid w:val="186F07E0"/>
    <w:rsid w:val="1870587F"/>
    <w:rsid w:val="18762AED"/>
    <w:rsid w:val="187D022F"/>
    <w:rsid w:val="188038B4"/>
    <w:rsid w:val="18AB5FAF"/>
    <w:rsid w:val="18BC39C0"/>
    <w:rsid w:val="18C11039"/>
    <w:rsid w:val="18C63B82"/>
    <w:rsid w:val="18CB5E1F"/>
    <w:rsid w:val="18E85CBC"/>
    <w:rsid w:val="18EE0A47"/>
    <w:rsid w:val="18F478DD"/>
    <w:rsid w:val="18FA3897"/>
    <w:rsid w:val="19047845"/>
    <w:rsid w:val="19060BCC"/>
    <w:rsid w:val="19120E5E"/>
    <w:rsid w:val="19235518"/>
    <w:rsid w:val="192468CD"/>
    <w:rsid w:val="19333C0A"/>
    <w:rsid w:val="193D7ACD"/>
    <w:rsid w:val="194309D8"/>
    <w:rsid w:val="19471FDA"/>
    <w:rsid w:val="1955215E"/>
    <w:rsid w:val="19587837"/>
    <w:rsid w:val="195C5E70"/>
    <w:rsid w:val="19687384"/>
    <w:rsid w:val="19687B56"/>
    <w:rsid w:val="19883015"/>
    <w:rsid w:val="19976AC3"/>
    <w:rsid w:val="199E4A14"/>
    <w:rsid w:val="19A71474"/>
    <w:rsid w:val="19AE0656"/>
    <w:rsid w:val="19B05F00"/>
    <w:rsid w:val="19B72E60"/>
    <w:rsid w:val="19C00315"/>
    <w:rsid w:val="19C879C9"/>
    <w:rsid w:val="19E90A65"/>
    <w:rsid w:val="19F13C55"/>
    <w:rsid w:val="19F3039F"/>
    <w:rsid w:val="19F756C5"/>
    <w:rsid w:val="1A0301A3"/>
    <w:rsid w:val="1A145E68"/>
    <w:rsid w:val="1A197C48"/>
    <w:rsid w:val="1A1B7AF6"/>
    <w:rsid w:val="1A1E4DFD"/>
    <w:rsid w:val="1A247656"/>
    <w:rsid w:val="1A2556A1"/>
    <w:rsid w:val="1A3A1484"/>
    <w:rsid w:val="1A411F58"/>
    <w:rsid w:val="1A4C08AD"/>
    <w:rsid w:val="1A507DCD"/>
    <w:rsid w:val="1A551A07"/>
    <w:rsid w:val="1A5A4D51"/>
    <w:rsid w:val="1A63746B"/>
    <w:rsid w:val="1A672164"/>
    <w:rsid w:val="1A6A66D5"/>
    <w:rsid w:val="1A701A43"/>
    <w:rsid w:val="1A743FBF"/>
    <w:rsid w:val="1A7452C7"/>
    <w:rsid w:val="1A7A27D2"/>
    <w:rsid w:val="1A8578FC"/>
    <w:rsid w:val="1A894F17"/>
    <w:rsid w:val="1A8D7BE0"/>
    <w:rsid w:val="1A986421"/>
    <w:rsid w:val="1A9A7539"/>
    <w:rsid w:val="1AA03E54"/>
    <w:rsid w:val="1AA11FE9"/>
    <w:rsid w:val="1ABF33B5"/>
    <w:rsid w:val="1AC43521"/>
    <w:rsid w:val="1AC50442"/>
    <w:rsid w:val="1ACB051E"/>
    <w:rsid w:val="1ACF75D8"/>
    <w:rsid w:val="1ADC3233"/>
    <w:rsid w:val="1AE0535F"/>
    <w:rsid w:val="1AEA71EF"/>
    <w:rsid w:val="1B027BE5"/>
    <w:rsid w:val="1B0E7C8F"/>
    <w:rsid w:val="1B0F1462"/>
    <w:rsid w:val="1B1043FB"/>
    <w:rsid w:val="1B186537"/>
    <w:rsid w:val="1B2A1F85"/>
    <w:rsid w:val="1B3615CE"/>
    <w:rsid w:val="1B3631FD"/>
    <w:rsid w:val="1B427988"/>
    <w:rsid w:val="1B430F46"/>
    <w:rsid w:val="1B554734"/>
    <w:rsid w:val="1B67298A"/>
    <w:rsid w:val="1B697ACA"/>
    <w:rsid w:val="1B6C263D"/>
    <w:rsid w:val="1B752BB9"/>
    <w:rsid w:val="1B7613D4"/>
    <w:rsid w:val="1B790CAB"/>
    <w:rsid w:val="1B8422CF"/>
    <w:rsid w:val="1B865003"/>
    <w:rsid w:val="1B890FA6"/>
    <w:rsid w:val="1B953B78"/>
    <w:rsid w:val="1B9A120C"/>
    <w:rsid w:val="1B9E4034"/>
    <w:rsid w:val="1BA27232"/>
    <w:rsid w:val="1BA5533C"/>
    <w:rsid w:val="1BB56BB3"/>
    <w:rsid w:val="1BCA1C0C"/>
    <w:rsid w:val="1BD64E8D"/>
    <w:rsid w:val="1BDC0BD9"/>
    <w:rsid w:val="1BEC765B"/>
    <w:rsid w:val="1BEE67BD"/>
    <w:rsid w:val="1BF0772F"/>
    <w:rsid w:val="1BF47D45"/>
    <w:rsid w:val="1BF57AB9"/>
    <w:rsid w:val="1C067E98"/>
    <w:rsid w:val="1C0E5836"/>
    <w:rsid w:val="1C110CEA"/>
    <w:rsid w:val="1C20001F"/>
    <w:rsid w:val="1C200D59"/>
    <w:rsid w:val="1C317E69"/>
    <w:rsid w:val="1C3B746C"/>
    <w:rsid w:val="1C4B6411"/>
    <w:rsid w:val="1C56060F"/>
    <w:rsid w:val="1C584975"/>
    <w:rsid w:val="1C590533"/>
    <w:rsid w:val="1C5B5CC1"/>
    <w:rsid w:val="1C633C92"/>
    <w:rsid w:val="1C6C207E"/>
    <w:rsid w:val="1C743961"/>
    <w:rsid w:val="1C7C2119"/>
    <w:rsid w:val="1C7D6E42"/>
    <w:rsid w:val="1C8B0937"/>
    <w:rsid w:val="1CA224D2"/>
    <w:rsid w:val="1CC30C0B"/>
    <w:rsid w:val="1CC51314"/>
    <w:rsid w:val="1CC51BA1"/>
    <w:rsid w:val="1CCC6F92"/>
    <w:rsid w:val="1CCF13FB"/>
    <w:rsid w:val="1CE9775C"/>
    <w:rsid w:val="1CEC0815"/>
    <w:rsid w:val="1CF26B79"/>
    <w:rsid w:val="1CF65B26"/>
    <w:rsid w:val="1D03170E"/>
    <w:rsid w:val="1D052A3D"/>
    <w:rsid w:val="1D0B69AF"/>
    <w:rsid w:val="1D172F4E"/>
    <w:rsid w:val="1D2B3138"/>
    <w:rsid w:val="1D2D4DC0"/>
    <w:rsid w:val="1D303738"/>
    <w:rsid w:val="1D363824"/>
    <w:rsid w:val="1D42588B"/>
    <w:rsid w:val="1D537F49"/>
    <w:rsid w:val="1D593EEA"/>
    <w:rsid w:val="1D6303CA"/>
    <w:rsid w:val="1D637944"/>
    <w:rsid w:val="1D6D0B9C"/>
    <w:rsid w:val="1D795630"/>
    <w:rsid w:val="1D852E24"/>
    <w:rsid w:val="1D855586"/>
    <w:rsid w:val="1D965E95"/>
    <w:rsid w:val="1DA227A3"/>
    <w:rsid w:val="1DA47D18"/>
    <w:rsid w:val="1DA55478"/>
    <w:rsid w:val="1DAF3935"/>
    <w:rsid w:val="1DC743E3"/>
    <w:rsid w:val="1DCB745A"/>
    <w:rsid w:val="1DD3364A"/>
    <w:rsid w:val="1DD71967"/>
    <w:rsid w:val="1DE551BD"/>
    <w:rsid w:val="1DEB5CC3"/>
    <w:rsid w:val="1DF52E34"/>
    <w:rsid w:val="1E01227B"/>
    <w:rsid w:val="1E0169CC"/>
    <w:rsid w:val="1E1126BE"/>
    <w:rsid w:val="1E3D5AE5"/>
    <w:rsid w:val="1E455CDC"/>
    <w:rsid w:val="1E4C0986"/>
    <w:rsid w:val="1E5752A2"/>
    <w:rsid w:val="1E5D25FB"/>
    <w:rsid w:val="1E6471BC"/>
    <w:rsid w:val="1E76494F"/>
    <w:rsid w:val="1E906FE9"/>
    <w:rsid w:val="1E94288A"/>
    <w:rsid w:val="1EA40027"/>
    <w:rsid w:val="1EB50B50"/>
    <w:rsid w:val="1EBA31B8"/>
    <w:rsid w:val="1EBD6AFE"/>
    <w:rsid w:val="1EC24C3E"/>
    <w:rsid w:val="1ECD43D6"/>
    <w:rsid w:val="1EDE2EB1"/>
    <w:rsid w:val="1EF3055A"/>
    <w:rsid w:val="1EFA616B"/>
    <w:rsid w:val="1F0038E4"/>
    <w:rsid w:val="1F0734FD"/>
    <w:rsid w:val="1F0B419D"/>
    <w:rsid w:val="1F0C3179"/>
    <w:rsid w:val="1F167841"/>
    <w:rsid w:val="1F1A0725"/>
    <w:rsid w:val="1F1E2769"/>
    <w:rsid w:val="1F200D82"/>
    <w:rsid w:val="1F2F0772"/>
    <w:rsid w:val="1F47434F"/>
    <w:rsid w:val="1F476A88"/>
    <w:rsid w:val="1F5076C2"/>
    <w:rsid w:val="1F5129AD"/>
    <w:rsid w:val="1F6768EB"/>
    <w:rsid w:val="1F694055"/>
    <w:rsid w:val="1F7126DD"/>
    <w:rsid w:val="1F724366"/>
    <w:rsid w:val="1F7B18CC"/>
    <w:rsid w:val="1F81042E"/>
    <w:rsid w:val="1F8369FC"/>
    <w:rsid w:val="1F843470"/>
    <w:rsid w:val="1F870ABD"/>
    <w:rsid w:val="1F8959AB"/>
    <w:rsid w:val="1F8B2988"/>
    <w:rsid w:val="1F927907"/>
    <w:rsid w:val="1F9C0A4F"/>
    <w:rsid w:val="1FB26B0F"/>
    <w:rsid w:val="1FBA0F16"/>
    <w:rsid w:val="1FBC115D"/>
    <w:rsid w:val="1FBE4D4C"/>
    <w:rsid w:val="1FCB0C5B"/>
    <w:rsid w:val="1FD6731C"/>
    <w:rsid w:val="1FD735E1"/>
    <w:rsid w:val="1FD811DB"/>
    <w:rsid w:val="1FE9639D"/>
    <w:rsid w:val="1FF26E57"/>
    <w:rsid w:val="20073DB6"/>
    <w:rsid w:val="200B1EEB"/>
    <w:rsid w:val="20150E9F"/>
    <w:rsid w:val="20171896"/>
    <w:rsid w:val="201868D8"/>
    <w:rsid w:val="20215EFB"/>
    <w:rsid w:val="2027555D"/>
    <w:rsid w:val="203D5909"/>
    <w:rsid w:val="203E43DC"/>
    <w:rsid w:val="2050652B"/>
    <w:rsid w:val="205266EA"/>
    <w:rsid w:val="20574593"/>
    <w:rsid w:val="205B10F0"/>
    <w:rsid w:val="205B45BD"/>
    <w:rsid w:val="205C1C74"/>
    <w:rsid w:val="20625F66"/>
    <w:rsid w:val="206406E2"/>
    <w:rsid w:val="206B7976"/>
    <w:rsid w:val="207024C8"/>
    <w:rsid w:val="2072385E"/>
    <w:rsid w:val="20766F51"/>
    <w:rsid w:val="208607BE"/>
    <w:rsid w:val="20901AEB"/>
    <w:rsid w:val="20904DAD"/>
    <w:rsid w:val="209E1A23"/>
    <w:rsid w:val="20A05A55"/>
    <w:rsid w:val="20BF4FBA"/>
    <w:rsid w:val="20D2337B"/>
    <w:rsid w:val="20D53BE0"/>
    <w:rsid w:val="20DD62C0"/>
    <w:rsid w:val="20DE3FE7"/>
    <w:rsid w:val="20E50DB6"/>
    <w:rsid w:val="20E5409E"/>
    <w:rsid w:val="20E668BA"/>
    <w:rsid w:val="20EB5620"/>
    <w:rsid w:val="20F00928"/>
    <w:rsid w:val="20F42C44"/>
    <w:rsid w:val="20F87FCE"/>
    <w:rsid w:val="20FC51F3"/>
    <w:rsid w:val="20FD76F3"/>
    <w:rsid w:val="210A644E"/>
    <w:rsid w:val="210C5556"/>
    <w:rsid w:val="210D1BEB"/>
    <w:rsid w:val="21180E32"/>
    <w:rsid w:val="21185A33"/>
    <w:rsid w:val="21262923"/>
    <w:rsid w:val="212D04A4"/>
    <w:rsid w:val="21323B49"/>
    <w:rsid w:val="21361B69"/>
    <w:rsid w:val="21367EBD"/>
    <w:rsid w:val="21374133"/>
    <w:rsid w:val="213F4CA3"/>
    <w:rsid w:val="214B47E5"/>
    <w:rsid w:val="21537D48"/>
    <w:rsid w:val="215547B4"/>
    <w:rsid w:val="2155671D"/>
    <w:rsid w:val="215C5684"/>
    <w:rsid w:val="216041EE"/>
    <w:rsid w:val="216F1863"/>
    <w:rsid w:val="217004C8"/>
    <w:rsid w:val="21736C0A"/>
    <w:rsid w:val="217466DA"/>
    <w:rsid w:val="217C1B87"/>
    <w:rsid w:val="21846ED1"/>
    <w:rsid w:val="21964D08"/>
    <w:rsid w:val="21A61743"/>
    <w:rsid w:val="21AE0533"/>
    <w:rsid w:val="21B5378E"/>
    <w:rsid w:val="21CE6894"/>
    <w:rsid w:val="21D66EB2"/>
    <w:rsid w:val="21D677FD"/>
    <w:rsid w:val="21E359B2"/>
    <w:rsid w:val="22011200"/>
    <w:rsid w:val="22067AB1"/>
    <w:rsid w:val="220C6CB6"/>
    <w:rsid w:val="220D51F5"/>
    <w:rsid w:val="22201BFF"/>
    <w:rsid w:val="22274ED6"/>
    <w:rsid w:val="22287020"/>
    <w:rsid w:val="222E0FAA"/>
    <w:rsid w:val="222F007E"/>
    <w:rsid w:val="22441AA5"/>
    <w:rsid w:val="22475303"/>
    <w:rsid w:val="224E4CCD"/>
    <w:rsid w:val="22517AB0"/>
    <w:rsid w:val="22523775"/>
    <w:rsid w:val="22591A82"/>
    <w:rsid w:val="22610794"/>
    <w:rsid w:val="226D6F78"/>
    <w:rsid w:val="227666B7"/>
    <w:rsid w:val="227B217D"/>
    <w:rsid w:val="227B2E7C"/>
    <w:rsid w:val="227B493D"/>
    <w:rsid w:val="227C22A9"/>
    <w:rsid w:val="227C43FF"/>
    <w:rsid w:val="227E6DCD"/>
    <w:rsid w:val="22834863"/>
    <w:rsid w:val="22AF0B03"/>
    <w:rsid w:val="22B3517E"/>
    <w:rsid w:val="22BA3BAD"/>
    <w:rsid w:val="22C40F57"/>
    <w:rsid w:val="22CC3FBB"/>
    <w:rsid w:val="22D62F45"/>
    <w:rsid w:val="22DB748A"/>
    <w:rsid w:val="22E317D6"/>
    <w:rsid w:val="22E44202"/>
    <w:rsid w:val="22E90FEA"/>
    <w:rsid w:val="22FA30ED"/>
    <w:rsid w:val="22FD074A"/>
    <w:rsid w:val="23067226"/>
    <w:rsid w:val="231224B0"/>
    <w:rsid w:val="23207208"/>
    <w:rsid w:val="23280E1D"/>
    <w:rsid w:val="232C3617"/>
    <w:rsid w:val="232E2C8D"/>
    <w:rsid w:val="233765B8"/>
    <w:rsid w:val="233E5A4D"/>
    <w:rsid w:val="234241F8"/>
    <w:rsid w:val="23437086"/>
    <w:rsid w:val="23471626"/>
    <w:rsid w:val="23474527"/>
    <w:rsid w:val="234B0AA6"/>
    <w:rsid w:val="234D4690"/>
    <w:rsid w:val="23631AA5"/>
    <w:rsid w:val="236E4B3E"/>
    <w:rsid w:val="237C4FD3"/>
    <w:rsid w:val="238F61B0"/>
    <w:rsid w:val="239D0DA0"/>
    <w:rsid w:val="23A579EF"/>
    <w:rsid w:val="23A91007"/>
    <w:rsid w:val="23AC5873"/>
    <w:rsid w:val="23B42381"/>
    <w:rsid w:val="23C323AD"/>
    <w:rsid w:val="23C50EBC"/>
    <w:rsid w:val="23C605A0"/>
    <w:rsid w:val="23CB2EB7"/>
    <w:rsid w:val="23D15303"/>
    <w:rsid w:val="23E168C8"/>
    <w:rsid w:val="23E96424"/>
    <w:rsid w:val="23EA5719"/>
    <w:rsid w:val="23EC6601"/>
    <w:rsid w:val="23F0420C"/>
    <w:rsid w:val="23F63334"/>
    <w:rsid w:val="240109AF"/>
    <w:rsid w:val="24034507"/>
    <w:rsid w:val="240C5F4F"/>
    <w:rsid w:val="24137C68"/>
    <w:rsid w:val="24155A0F"/>
    <w:rsid w:val="24204B94"/>
    <w:rsid w:val="242D09BB"/>
    <w:rsid w:val="2430254A"/>
    <w:rsid w:val="24353EA7"/>
    <w:rsid w:val="243E456A"/>
    <w:rsid w:val="24422BCD"/>
    <w:rsid w:val="2446320A"/>
    <w:rsid w:val="244A5398"/>
    <w:rsid w:val="24530D86"/>
    <w:rsid w:val="24564596"/>
    <w:rsid w:val="24575E86"/>
    <w:rsid w:val="245A4261"/>
    <w:rsid w:val="245A7F98"/>
    <w:rsid w:val="24664904"/>
    <w:rsid w:val="246A0433"/>
    <w:rsid w:val="246E39C1"/>
    <w:rsid w:val="246F01AB"/>
    <w:rsid w:val="24795B8F"/>
    <w:rsid w:val="247A5489"/>
    <w:rsid w:val="247F6E82"/>
    <w:rsid w:val="24837726"/>
    <w:rsid w:val="24845BF9"/>
    <w:rsid w:val="2489673F"/>
    <w:rsid w:val="24932814"/>
    <w:rsid w:val="24987A67"/>
    <w:rsid w:val="249F38BC"/>
    <w:rsid w:val="24A36F3B"/>
    <w:rsid w:val="24A74FC4"/>
    <w:rsid w:val="24B61287"/>
    <w:rsid w:val="24C50181"/>
    <w:rsid w:val="24C6543E"/>
    <w:rsid w:val="24CA4005"/>
    <w:rsid w:val="24E97369"/>
    <w:rsid w:val="24EC1129"/>
    <w:rsid w:val="24EC2FED"/>
    <w:rsid w:val="24F35545"/>
    <w:rsid w:val="24FA5868"/>
    <w:rsid w:val="25042C75"/>
    <w:rsid w:val="25062C18"/>
    <w:rsid w:val="25091740"/>
    <w:rsid w:val="250B1CDF"/>
    <w:rsid w:val="251C01E4"/>
    <w:rsid w:val="251F48FF"/>
    <w:rsid w:val="252E4FD0"/>
    <w:rsid w:val="25372E51"/>
    <w:rsid w:val="253D5605"/>
    <w:rsid w:val="2550136F"/>
    <w:rsid w:val="25504DC9"/>
    <w:rsid w:val="2551345D"/>
    <w:rsid w:val="25517903"/>
    <w:rsid w:val="255E7294"/>
    <w:rsid w:val="256E5CB4"/>
    <w:rsid w:val="257E19C6"/>
    <w:rsid w:val="257E1A91"/>
    <w:rsid w:val="25857B5F"/>
    <w:rsid w:val="25886125"/>
    <w:rsid w:val="258A31D0"/>
    <w:rsid w:val="258A3244"/>
    <w:rsid w:val="259128D5"/>
    <w:rsid w:val="25917816"/>
    <w:rsid w:val="25942AF7"/>
    <w:rsid w:val="25973569"/>
    <w:rsid w:val="259C25E9"/>
    <w:rsid w:val="25A1580D"/>
    <w:rsid w:val="25B01500"/>
    <w:rsid w:val="25B02354"/>
    <w:rsid w:val="25C34040"/>
    <w:rsid w:val="25CB6770"/>
    <w:rsid w:val="25DB589C"/>
    <w:rsid w:val="25E51B9B"/>
    <w:rsid w:val="25F534FD"/>
    <w:rsid w:val="25FD114A"/>
    <w:rsid w:val="26035786"/>
    <w:rsid w:val="261661B4"/>
    <w:rsid w:val="261848CD"/>
    <w:rsid w:val="261A71A2"/>
    <w:rsid w:val="26301512"/>
    <w:rsid w:val="264A72BC"/>
    <w:rsid w:val="2652203C"/>
    <w:rsid w:val="265459B4"/>
    <w:rsid w:val="265715E2"/>
    <w:rsid w:val="2659571E"/>
    <w:rsid w:val="265E4818"/>
    <w:rsid w:val="265F0495"/>
    <w:rsid w:val="266555A1"/>
    <w:rsid w:val="2669016B"/>
    <w:rsid w:val="267366B5"/>
    <w:rsid w:val="267A50E3"/>
    <w:rsid w:val="26A61A31"/>
    <w:rsid w:val="26A979B6"/>
    <w:rsid w:val="26AE5365"/>
    <w:rsid w:val="26B01E3E"/>
    <w:rsid w:val="26B506F6"/>
    <w:rsid w:val="26CB4EC9"/>
    <w:rsid w:val="26CC4EED"/>
    <w:rsid w:val="26DD5ADB"/>
    <w:rsid w:val="26DE6381"/>
    <w:rsid w:val="26E25FB5"/>
    <w:rsid w:val="26E43629"/>
    <w:rsid w:val="26E80BEB"/>
    <w:rsid w:val="26ED06D9"/>
    <w:rsid w:val="26ED270B"/>
    <w:rsid w:val="26F07E40"/>
    <w:rsid w:val="26F207AC"/>
    <w:rsid w:val="270636C6"/>
    <w:rsid w:val="270B24B1"/>
    <w:rsid w:val="271640FF"/>
    <w:rsid w:val="27203B3F"/>
    <w:rsid w:val="27261664"/>
    <w:rsid w:val="272A5204"/>
    <w:rsid w:val="273534DB"/>
    <w:rsid w:val="27355906"/>
    <w:rsid w:val="275609E0"/>
    <w:rsid w:val="27603599"/>
    <w:rsid w:val="276C3B61"/>
    <w:rsid w:val="278C3909"/>
    <w:rsid w:val="27940BAD"/>
    <w:rsid w:val="27982067"/>
    <w:rsid w:val="27991B1F"/>
    <w:rsid w:val="279F0993"/>
    <w:rsid w:val="27A95161"/>
    <w:rsid w:val="27AA1A34"/>
    <w:rsid w:val="27BD1C0D"/>
    <w:rsid w:val="27D1143A"/>
    <w:rsid w:val="27D41A55"/>
    <w:rsid w:val="27DC4A80"/>
    <w:rsid w:val="27DD0A5A"/>
    <w:rsid w:val="27E25B20"/>
    <w:rsid w:val="27E43F04"/>
    <w:rsid w:val="27EA52BA"/>
    <w:rsid w:val="27EB33AE"/>
    <w:rsid w:val="27EC7621"/>
    <w:rsid w:val="27EE405D"/>
    <w:rsid w:val="27EF0B98"/>
    <w:rsid w:val="27F12F64"/>
    <w:rsid w:val="27F3735C"/>
    <w:rsid w:val="27F47CC7"/>
    <w:rsid w:val="280C36A8"/>
    <w:rsid w:val="281F1DE5"/>
    <w:rsid w:val="2820368C"/>
    <w:rsid w:val="28423654"/>
    <w:rsid w:val="284861D1"/>
    <w:rsid w:val="28565B27"/>
    <w:rsid w:val="28572975"/>
    <w:rsid w:val="285A4544"/>
    <w:rsid w:val="286258ED"/>
    <w:rsid w:val="28656E64"/>
    <w:rsid w:val="28797C07"/>
    <w:rsid w:val="287F2E5D"/>
    <w:rsid w:val="288752B8"/>
    <w:rsid w:val="28986FCD"/>
    <w:rsid w:val="289A575F"/>
    <w:rsid w:val="28AA10D0"/>
    <w:rsid w:val="28AA222D"/>
    <w:rsid w:val="28B94CB6"/>
    <w:rsid w:val="28CA16BA"/>
    <w:rsid w:val="28CA619C"/>
    <w:rsid w:val="28CE28BD"/>
    <w:rsid w:val="28CF6AD7"/>
    <w:rsid w:val="28DC1D45"/>
    <w:rsid w:val="28DC526D"/>
    <w:rsid w:val="28E2149E"/>
    <w:rsid w:val="28E33D7F"/>
    <w:rsid w:val="28E61D23"/>
    <w:rsid w:val="28E966B2"/>
    <w:rsid w:val="28EB4901"/>
    <w:rsid w:val="28FB654C"/>
    <w:rsid w:val="29055D42"/>
    <w:rsid w:val="29061CE7"/>
    <w:rsid w:val="29100FAE"/>
    <w:rsid w:val="29114A42"/>
    <w:rsid w:val="29162F5A"/>
    <w:rsid w:val="291E1FF1"/>
    <w:rsid w:val="2920423B"/>
    <w:rsid w:val="2931714B"/>
    <w:rsid w:val="2952249E"/>
    <w:rsid w:val="29536D65"/>
    <w:rsid w:val="295423C6"/>
    <w:rsid w:val="29552A6A"/>
    <w:rsid w:val="29626740"/>
    <w:rsid w:val="2983678D"/>
    <w:rsid w:val="29906E90"/>
    <w:rsid w:val="29907280"/>
    <w:rsid w:val="299D31D6"/>
    <w:rsid w:val="29A90979"/>
    <w:rsid w:val="29AC0439"/>
    <w:rsid w:val="29B3178A"/>
    <w:rsid w:val="29BB1CA5"/>
    <w:rsid w:val="29BC445F"/>
    <w:rsid w:val="29BD52CC"/>
    <w:rsid w:val="29C323D1"/>
    <w:rsid w:val="29C92FE8"/>
    <w:rsid w:val="29D25637"/>
    <w:rsid w:val="29D977F6"/>
    <w:rsid w:val="29DA7DD5"/>
    <w:rsid w:val="29E67349"/>
    <w:rsid w:val="29E74C01"/>
    <w:rsid w:val="2A040F28"/>
    <w:rsid w:val="2A053652"/>
    <w:rsid w:val="2A067415"/>
    <w:rsid w:val="2A0800E5"/>
    <w:rsid w:val="2A0A2044"/>
    <w:rsid w:val="2A0F4C0F"/>
    <w:rsid w:val="2A11085A"/>
    <w:rsid w:val="2A1A3866"/>
    <w:rsid w:val="2A1E00C4"/>
    <w:rsid w:val="2A212DCF"/>
    <w:rsid w:val="2A266B79"/>
    <w:rsid w:val="2A2D10E2"/>
    <w:rsid w:val="2A406D3A"/>
    <w:rsid w:val="2A407645"/>
    <w:rsid w:val="2A505939"/>
    <w:rsid w:val="2A50703B"/>
    <w:rsid w:val="2A516190"/>
    <w:rsid w:val="2A6E29BB"/>
    <w:rsid w:val="2A807789"/>
    <w:rsid w:val="2A883834"/>
    <w:rsid w:val="2A890DB5"/>
    <w:rsid w:val="2A8A1C08"/>
    <w:rsid w:val="2A944304"/>
    <w:rsid w:val="2A9643ED"/>
    <w:rsid w:val="2A990863"/>
    <w:rsid w:val="2AAB5425"/>
    <w:rsid w:val="2AB6393F"/>
    <w:rsid w:val="2AB64675"/>
    <w:rsid w:val="2AB93405"/>
    <w:rsid w:val="2AC278D2"/>
    <w:rsid w:val="2ACD1432"/>
    <w:rsid w:val="2ACE7EEE"/>
    <w:rsid w:val="2AE46B6C"/>
    <w:rsid w:val="2AE82840"/>
    <w:rsid w:val="2AF87713"/>
    <w:rsid w:val="2B092A12"/>
    <w:rsid w:val="2B0B32F9"/>
    <w:rsid w:val="2B19698C"/>
    <w:rsid w:val="2B316792"/>
    <w:rsid w:val="2B3757F4"/>
    <w:rsid w:val="2B3D32F0"/>
    <w:rsid w:val="2B401DDD"/>
    <w:rsid w:val="2B440D8C"/>
    <w:rsid w:val="2B4F6804"/>
    <w:rsid w:val="2B5E3E79"/>
    <w:rsid w:val="2B5F165B"/>
    <w:rsid w:val="2B6646F0"/>
    <w:rsid w:val="2B677DF3"/>
    <w:rsid w:val="2B706312"/>
    <w:rsid w:val="2B71279D"/>
    <w:rsid w:val="2B741BA7"/>
    <w:rsid w:val="2B751AF7"/>
    <w:rsid w:val="2B7C50EB"/>
    <w:rsid w:val="2B7D26FA"/>
    <w:rsid w:val="2B8127E6"/>
    <w:rsid w:val="2B8A79C9"/>
    <w:rsid w:val="2B9C1E8E"/>
    <w:rsid w:val="2B9D707E"/>
    <w:rsid w:val="2BA02DD7"/>
    <w:rsid w:val="2BA40FEE"/>
    <w:rsid w:val="2BA70E5D"/>
    <w:rsid w:val="2BA936AA"/>
    <w:rsid w:val="2BAA3309"/>
    <w:rsid w:val="2BB05B8F"/>
    <w:rsid w:val="2BC33373"/>
    <w:rsid w:val="2BC44F76"/>
    <w:rsid w:val="2BCF11F0"/>
    <w:rsid w:val="2BCF3259"/>
    <w:rsid w:val="2BD27DB4"/>
    <w:rsid w:val="2BD929CC"/>
    <w:rsid w:val="2BDB2C17"/>
    <w:rsid w:val="2BF94C03"/>
    <w:rsid w:val="2BFA2D07"/>
    <w:rsid w:val="2C0A62D3"/>
    <w:rsid w:val="2C100C68"/>
    <w:rsid w:val="2C1B19CF"/>
    <w:rsid w:val="2C2F2AC9"/>
    <w:rsid w:val="2C316DB2"/>
    <w:rsid w:val="2C324612"/>
    <w:rsid w:val="2C3A29A8"/>
    <w:rsid w:val="2C4053CD"/>
    <w:rsid w:val="2C474372"/>
    <w:rsid w:val="2C4D6410"/>
    <w:rsid w:val="2C4E5281"/>
    <w:rsid w:val="2C4E7CEA"/>
    <w:rsid w:val="2C506EE9"/>
    <w:rsid w:val="2C5246A6"/>
    <w:rsid w:val="2C5E27E1"/>
    <w:rsid w:val="2C5E3727"/>
    <w:rsid w:val="2C677685"/>
    <w:rsid w:val="2C771849"/>
    <w:rsid w:val="2C7F3AC3"/>
    <w:rsid w:val="2C806B61"/>
    <w:rsid w:val="2C981A73"/>
    <w:rsid w:val="2C9F3440"/>
    <w:rsid w:val="2CA1068F"/>
    <w:rsid w:val="2CD23532"/>
    <w:rsid w:val="2CE074B2"/>
    <w:rsid w:val="2CEC6471"/>
    <w:rsid w:val="2CEF1368"/>
    <w:rsid w:val="2D0C15E0"/>
    <w:rsid w:val="2D1E7CD5"/>
    <w:rsid w:val="2D2140D4"/>
    <w:rsid w:val="2D2519AA"/>
    <w:rsid w:val="2D2C4AF5"/>
    <w:rsid w:val="2D3523C5"/>
    <w:rsid w:val="2D4957EB"/>
    <w:rsid w:val="2D4F527C"/>
    <w:rsid w:val="2D5233D5"/>
    <w:rsid w:val="2D64342C"/>
    <w:rsid w:val="2D644C4A"/>
    <w:rsid w:val="2D810A54"/>
    <w:rsid w:val="2D880A3C"/>
    <w:rsid w:val="2D914D1C"/>
    <w:rsid w:val="2DA17515"/>
    <w:rsid w:val="2DA64F75"/>
    <w:rsid w:val="2DAE5715"/>
    <w:rsid w:val="2DCE3801"/>
    <w:rsid w:val="2DE865BD"/>
    <w:rsid w:val="2DEB07E9"/>
    <w:rsid w:val="2DEE050F"/>
    <w:rsid w:val="2E051880"/>
    <w:rsid w:val="2E066B08"/>
    <w:rsid w:val="2E0E1190"/>
    <w:rsid w:val="2E1347C8"/>
    <w:rsid w:val="2E187D65"/>
    <w:rsid w:val="2E1F0139"/>
    <w:rsid w:val="2E250A70"/>
    <w:rsid w:val="2E305321"/>
    <w:rsid w:val="2E330E8B"/>
    <w:rsid w:val="2E343FDD"/>
    <w:rsid w:val="2E3527A8"/>
    <w:rsid w:val="2E4479FA"/>
    <w:rsid w:val="2E4D1A9C"/>
    <w:rsid w:val="2E513D84"/>
    <w:rsid w:val="2E65466F"/>
    <w:rsid w:val="2E674998"/>
    <w:rsid w:val="2E6E72F2"/>
    <w:rsid w:val="2E706855"/>
    <w:rsid w:val="2E73460F"/>
    <w:rsid w:val="2E74345D"/>
    <w:rsid w:val="2E7A4401"/>
    <w:rsid w:val="2E7E36F8"/>
    <w:rsid w:val="2E835422"/>
    <w:rsid w:val="2E890E14"/>
    <w:rsid w:val="2E8C20BC"/>
    <w:rsid w:val="2E8F5E99"/>
    <w:rsid w:val="2E922DA3"/>
    <w:rsid w:val="2E9F265E"/>
    <w:rsid w:val="2EA61C72"/>
    <w:rsid w:val="2EA70603"/>
    <w:rsid w:val="2EB05E82"/>
    <w:rsid w:val="2EB435CD"/>
    <w:rsid w:val="2EB83EB8"/>
    <w:rsid w:val="2EC008F0"/>
    <w:rsid w:val="2EC54539"/>
    <w:rsid w:val="2EC71DAF"/>
    <w:rsid w:val="2EC93C48"/>
    <w:rsid w:val="2EDF0930"/>
    <w:rsid w:val="2EEA73AF"/>
    <w:rsid w:val="2EEB093D"/>
    <w:rsid w:val="2EF73395"/>
    <w:rsid w:val="2F133CFD"/>
    <w:rsid w:val="2F1519EB"/>
    <w:rsid w:val="2F190A69"/>
    <w:rsid w:val="2F193C16"/>
    <w:rsid w:val="2F1F3CBF"/>
    <w:rsid w:val="2F225061"/>
    <w:rsid w:val="2F234949"/>
    <w:rsid w:val="2F323B43"/>
    <w:rsid w:val="2F7B650E"/>
    <w:rsid w:val="2F830060"/>
    <w:rsid w:val="2F87657B"/>
    <w:rsid w:val="2F8901FB"/>
    <w:rsid w:val="2F8D1523"/>
    <w:rsid w:val="2F983FFB"/>
    <w:rsid w:val="2F9E5006"/>
    <w:rsid w:val="2FA23978"/>
    <w:rsid w:val="2FAE4E31"/>
    <w:rsid w:val="2FAE7190"/>
    <w:rsid w:val="2FB52B44"/>
    <w:rsid w:val="2FBC74E0"/>
    <w:rsid w:val="2FD070E4"/>
    <w:rsid w:val="2FD13B51"/>
    <w:rsid w:val="2FD213D2"/>
    <w:rsid w:val="2FE32A99"/>
    <w:rsid w:val="2FE96701"/>
    <w:rsid w:val="2FEA5B08"/>
    <w:rsid w:val="30036934"/>
    <w:rsid w:val="300762C4"/>
    <w:rsid w:val="302374AB"/>
    <w:rsid w:val="30326E67"/>
    <w:rsid w:val="303760BE"/>
    <w:rsid w:val="303D1568"/>
    <w:rsid w:val="3044343B"/>
    <w:rsid w:val="304527A5"/>
    <w:rsid w:val="305460EA"/>
    <w:rsid w:val="30572BB4"/>
    <w:rsid w:val="30681CC3"/>
    <w:rsid w:val="306D4999"/>
    <w:rsid w:val="306D542C"/>
    <w:rsid w:val="30711214"/>
    <w:rsid w:val="307F4A07"/>
    <w:rsid w:val="308B4DA9"/>
    <w:rsid w:val="308E118F"/>
    <w:rsid w:val="308E22B7"/>
    <w:rsid w:val="309C3126"/>
    <w:rsid w:val="30B05106"/>
    <w:rsid w:val="30BC2D2F"/>
    <w:rsid w:val="30C758D5"/>
    <w:rsid w:val="30C80454"/>
    <w:rsid w:val="30D06476"/>
    <w:rsid w:val="30D42566"/>
    <w:rsid w:val="30D44FBC"/>
    <w:rsid w:val="30E720CF"/>
    <w:rsid w:val="30FC29F6"/>
    <w:rsid w:val="3101026D"/>
    <w:rsid w:val="31061199"/>
    <w:rsid w:val="311A5DEA"/>
    <w:rsid w:val="311C73B4"/>
    <w:rsid w:val="311F55F5"/>
    <w:rsid w:val="312B2EBD"/>
    <w:rsid w:val="314E0F4E"/>
    <w:rsid w:val="31581D78"/>
    <w:rsid w:val="31585E6C"/>
    <w:rsid w:val="31620B84"/>
    <w:rsid w:val="316745CA"/>
    <w:rsid w:val="31676970"/>
    <w:rsid w:val="316E7DD8"/>
    <w:rsid w:val="31702300"/>
    <w:rsid w:val="31707560"/>
    <w:rsid w:val="318C0E73"/>
    <w:rsid w:val="318F003A"/>
    <w:rsid w:val="31B355BA"/>
    <w:rsid w:val="31BD0830"/>
    <w:rsid w:val="31C14A52"/>
    <w:rsid w:val="31C34017"/>
    <w:rsid w:val="31CA1D58"/>
    <w:rsid w:val="31CB7D83"/>
    <w:rsid w:val="31D16DDA"/>
    <w:rsid w:val="31D637B7"/>
    <w:rsid w:val="31DC16AE"/>
    <w:rsid w:val="31E82BAD"/>
    <w:rsid w:val="31EC21E0"/>
    <w:rsid w:val="31EC6B98"/>
    <w:rsid w:val="31ED3C6D"/>
    <w:rsid w:val="31EE50F1"/>
    <w:rsid w:val="32100AA3"/>
    <w:rsid w:val="32144C3D"/>
    <w:rsid w:val="321C3051"/>
    <w:rsid w:val="321E6C8D"/>
    <w:rsid w:val="32232654"/>
    <w:rsid w:val="322E6B2E"/>
    <w:rsid w:val="322F4EA4"/>
    <w:rsid w:val="32311F58"/>
    <w:rsid w:val="323C03E6"/>
    <w:rsid w:val="323D3B2C"/>
    <w:rsid w:val="323F0974"/>
    <w:rsid w:val="32463A67"/>
    <w:rsid w:val="325252E8"/>
    <w:rsid w:val="325C1E83"/>
    <w:rsid w:val="32610022"/>
    <w:rsid w:val="32614783"/>
    <w:rsid w:val="326717E4"/>
    <w:rsid w:val="32786ECB"/>
    <w:rsid w:val="32854442"/>
    <w:rsid w:val="3289102F"/>
    <w:rsid w:val="32925304"/>
    <w:rsid w:val="32A02C24"/>
    <w:rsid w:val="32A12270"/>
    <w:rsid w:val="32A22B2D"/>
    <w:rsid w:val="32A41D46"/>
    <w:rsid w:val="32AD79D4"/>
    <w:rsid w:val="32BB2978"/>
    <w:rsid w:val="32C35081"/>
    <w:rsid w:val="32C46ECF"/>
    <w:rsid w:val="32C84D5E"/>
    <w:rsid w:val="32CA45DA"/>
    <w:rsid w:val="32CB472B"/>
    <w:rsid w:val="32E130E4"/>
    <w:rsid w:val="32E602F9"/>
    <w:rsid w:val="32F73847"/>
    <w:rsid w:val="33076A47"/>
    <w:rsid w:val="33094A27"/>
    <w:rsid w:val="330E2871"/>
    <w:rsid w:val="331B37A4"/>
    <w:rsid w:val="332D6456"/>
    <w:rsid w:val="333047F6"/>
    <w:rsid w:val="33447FF3"/>
    <w:rsid w:val="334C45DC"/>
    <w:rsid w:val="334F12F8"/>
    <w:rsid w:val="336A74F6"/>
    <w:rsid w:val="33761924"/>
    <w:rsid w:val="337769C1"/>
    <w:rsid w:val="33782F22"/>
    <w:rsid w:val="337C3B1F"/>
    <w:rsid w:val="33984C51"/>
    <w:rsid w:val="33B07FB1"/>
    <w:rsid w:val="33BF504E"/>
    <w:rsid w:val="33C602F8"/>
    <w:rsid w:val="33D27EA4"/>
    <w:rsid w:val="33D459C9"/>
    <w:rsid w:val="33DA16C6"/>
    <w:rsid w:val="33DB56AE"/>
    <w:rsid w:val="33EA51EB"/>
    <w:rsid w:val="33EB1DDE"/>
    <w:rsid w:val="33F27C70"/>
    <w:rsid w:val="33FB611F"/>
    <w:rsid w:val="340261E9"/>
    <w:rsid w:val="34067473"/>
    <w:rsid w:val="3410297C"/>
    <w:rsid w:val="34191773"/>
    <w:rsid w:val="341969E5"/>
    <w:rsid w:val="341D5C5A"/>
    <w:rsid w:val="341E5ABB"/>
    <w:rsid w:val="342330D5"/>
    <w:rsid w:val="34294D0B"/>
    <w:rsid w:val="342C34CE"/>
    <w:rsid w:val="342C3E32"/>
    <w:rsid w:val="342F548A"/>
    <w:rsid w:val="34360D07"/>
    <w:rsid w:val="343867BA"/>
    <w:rsid w:val="34520356"/>
    <w:rsid w:val="34527C61"/>
    <w:rsid w:val="345430D2"/>
    <w:rsid w:val="34660FEA"/>
    <w:rsid w:val="34753C76"/>
    <w:rsid w:val="347C09B4"/>
    <w:rsid w:val="348204F6"/>
    <w:rsid w:val="34A32535"/>
    <w:rsid w:val="34A54D1F"/>
    <w:rsid w:val="34A74F24"/>
    <w:rsid w:val="34A75CA9"/>
    <w:rsid w:val="34A93B2F"/>
    <w:rsid w:val="34C80D42"/>
    <w:rsid w:val="34CB1BE2"/>
    <w:rsid w:val="34CF55D8"/>
    <w:rsid w:val="34DA4CC4"/>
    <w:rsid w:val="34DD2BAF"/>
    <w:rsid w:val="34E22C82"/>
    <w:rsid w:val="34ED554C"/>
    <w:rsid w:val="351672B5"/>
    <w:rsid w:val="353107AD"/>
    <w:rsid w:val="35393E10"/>
    <w:rsid w:val="35471D89"/>
    <w:rsid w:val="354A320B"/>
    <w:rsid w:val="35526139"/>
    <w:rsid w:val="355D34DF"/>
    <w:rsid w:val="356102A9"/>
    <w:rsid w:val="35615EAD"/>
    <w:rsid w:val="3564453E"/>
    <w:rsid w:val="35695929"/>
    <w:rsid w:val="356F18D7"/>
    <w:rsid w:val="3571686C"/>
    <w:rsid w:val="357657F6"/>
    <w:rsid w:val="357A6FFB"/>
    <w:rsid w:val="357B0BFB"/>
    <w:rsid w:val="358A640C"/>
    <w:rsid w:val="35994320"/>
    <w:rsid w:val="359E7B73"/>
    <w:rsid w:val="35A82021"/>
    <w:rsid w:val="35BA098C"/>
    <w:rsid w:val="35CB4149"/>
    <w:rsid w:val="35D11D44"/>
    <w:rsid w:val="35DF560D"/>
    <w:rsid w:val="35EC0EA5"/>
    <w:rsid w:val="35EC4BB5"/>
    <w:rsid w:val="35F607C1"/>
    <w:rsid w:val="35F70CA7"/>
    <w:rsid w:val="360457CD"/>
    <w:rsid w:val="360C48D4"/>
    <w:rsid w:val="3614666F"/>
    <w:rsid w:val="362122CF"/>
    <w:rsid w:val="36216492"/>
    <w:rsid w:val="362175E3"/>
    <w:rsid w:val="36233A56"/>
    <w:rsid w:val="362F33A6"/>
    <w:rsid w:val="363227C3"/>
    <w:rsid w:val="36330800"/>
    <w:rsid w:val="36393F82"/>
    <w:rsid w:val="363C1F19"/>
    <w:rsid w:val="364C2240"/>
    <w:rsid w:val="365518A9"/>
    <w:rsid w:val="36574062"/>
    <w:rsid w:val="365C5345"/>
    <w:rsid w:val="3665488E"/>
    <w:rsid w:val="366672BA"/>
    <w:rsid w:val="3666775F"/>
    <w:rsid w:val="366A1EAC"/>
    <w:rsid w:val="36704B65"/>
    <w:rsid w:val="367430D7"/>
    <w:rsid w:val="367D3F38"/>
    <w:rsid w:val="36824ABE"/>
    <w:rsid w:val="36AD5640"/>
    <w:rsid w:val="36B27F41"/>
    <w:rsid w:val="36B74128"/>
    <w:rsid w:val="36B75C3F"/>
    <w:rsid w:val="36BB0857"/>
    <w:rsid w:val="36BF22F7"/>
    <w:rsid w:val="36C6112D"/>
    <w:rsid w:val="36C67CFC"/>
    <w:rsid w:val="36CE0615"/>
    <w:rsid w:val="36D636A6"/>
    <w:rsid w:val="36DD6F02"/>
    <w:rsid w:val="36DE0625"/>
    <w:rsid w:val="36DF0173"/>
    <w:rsid w:val="36E11701"/>
    <w:rsid w:val="36E33C92"/>
    <w:rsid w:val="36F01770"/>
    <w:rsid w:val="36FC4342"/>
    <w:rsid w:val="36FE7799"/>
    <w:rsid w:val="37020EE5"/>
    <w:rsid w:val="37033967"/>
    <w:rsid w:val="370400AC"/>
    <w:rsid w:val="371216BA"/>
    <w:rsid w:val="37170AC6"/>
    <w:rsid w:val="371F5775"/>
    <w:rsid w:val="37206C3F"/>
    <w:rsid w:val="372F4814"/>
    <w:rsid w:val="373767EC"/>
    <w:rsid w:val="373F329C"/>
    <w:rsid w:val="37404B82"/>
    <w:rsid w:val="37463B73"/>
    <w:rsid w:val="374A3961"/>
    <w:rsid w:val="37504EE6"/>
    <w:rsid w:val="37540E18"/>
    <w:rsid w:val="37576046"/>
    <w:rsid w:val="37603005"/>
    <w:rsid w:val="37676D78"/>
    <w:rsid w:val="376A0A29"/>
    <w:rsid w:val="377A161A"/>
    <w:rsid w:val="377A5D06"/>
    <w:rsid w:val="37866A55"/>
    <w:rsid w:val="378F4306"/>
    <w:rsid w:val="37900652"/>
    <w:rsid w:val="3794067A"/>
    <w:rsid w:val="37953475"/>
    <w:rsid w:val="37994F83"/>
    <w:rsid w:val="37AC5A8E"/>
    <w:rsid w:val="37B62A54"/>
    <w:rsid w:val="37B936C4"/>
    <w:rsid w:val="37BA6B56"/>
    <w:rsid w:val="37C9011D"/>
    <w:rsid w:val="37DF18DD"/>
    <w:rsid w:val="37F452A2"/>
    <w:rsid w:val="37F712EB"/>
    <w:rsid w:val="37FA6EB5"/>
    <w:rsid w:val="37FC639E"/>
    <w:rsid w:val="38021F61"/>
    <w:rsid w:val="38213155"/>
    <w:rsid w:val="382D6266"/>
    <w:rsid w:val="38384B17"/>
    <w:rsid w:val="383D51B0"/>
    <w:rsid w:val="38436373"/>
    <w:rsid w:val="38450810"/>
    <w:rsid w:val="38453910"/>
    <w:rsid w:val="384D1481"/>
    <w:rsid w:val="384E5140"/>
    <w:rsid w:val="385A61A1"/>
    <w:rsid w:val="386B41E2"/>
    <w:rsid w:val="3871591E"/>
    <w:rsid w:val="388103A2"/>
    <w:rsid w:val="388162ED"/>
    <w:rsid w:val="38856EBC"/>
    <w:rsid w:val="3888376D"/>
    <w:rsid w:val="389103F7"/>
    <w:rsid w:val="38A117C3"/>
    <w:rsid w:val="38A81596"/>
    <w:rsid w:val="38AD4835"/>
    <w:rsid w:val="38BA0149"/>
    <w:rsid w:val="38C1630C"/>
    <w:rsid w:val="38CE0EEF"/>
    <w:rsid w:val="38D206AA"/>
    <w:rsid w:val="38D549D7"/>
    <w:rsid w:val="38D662C1"/>
    <w:rsid w:val="38D664B0"/>
    <w:rsid w:val="38DC1ECB"/>
    <w:rsid w:val="38E01552"/>
    <w:rsid w:val="38E25C21"/>
    <w:rsid w:val="38E3489F"/>
    <w:rsid w:val="38E60DD9"/>
    <w:rsid w:val="38F03E91"/>
    <w:rsid w:val="38F972DF"/>
    <w:rsid w:val="39040EA1"/>
    <w:rsid w:val="390A068B"/>
    <w:rsid w:val="390C5987"/>
    <w:rsid w:val="39127741"/>
    <w:rsid w:val="39140CB1"/>
    <w:rsid w:val="39152D20"/>
    <w:rsid w:val="39167036"/>
    <w:rsid w:val="391817B4"/>
    <w:rsid w:val="39201713"/>
    <w:rsid w:val="392C383E"/>
    <w:rsid w:val="39303C12"/>
    <w:rsid w:val="393A1A2A"/>
    <w:rsid w:val="393A260D"/>
    <w:rsid w:val="393B332E"/>
    <w:rsid w:val="393D35E7"/>
    <w:rsid w:val="39527E57"/>
    <w:rsid w:val="395A2776"/>
    <w:rsid w:val="39611B00"/>
    <w:rsid w:val="39631067"/>
    <w:rsid w:val="39642E83"/>
    <w:rsid w:val="396A2289"/>
    <w:rsid w:val="396C772F"/>
    <w:rsid w:val="397823CD"/>
    <w:rsid w:val="397C1DA9"/>
    <w:rsid w:val="397C47E7"/>
    <w:rsid w:val="39825F39"/>
    <w:rsid w:val="39826044"/>
    <w:rsid w:val="398C15D5"/>
    <w:rsid w:val="399A42B3"/>
    <w:rsid w:val="399F6BF2"/>
    <w:rsid w:val="39AC7FB9"/>
    <w:rsid w:val="39C13BDE"/>
    <w:rsid w:val="39CD394E"/>
    <w:rsid w:val="39D7602C"/>
    <w:rsid w:val="39E46CE2"/>
    <w:rsid w:val="39E6596C"/>
    <w:rsid w:val="39F55613"/>
    <w:rsid w:val="39FA4F95"/>
    <w:rsid w:val="3A0C1ED6"/>
    <w:rsid w:val="3A1A3CE0"/>
    <w:rsid w:val="3A320C69"/>
    <w:rsid w:val="3A38627D"/>
    <w:rsid w:val="3A3A7804"/>
    <w:rsid w:val="3A3F482E"/>
    <w:rsid w:val="3A456D61"/>
    <w:rsid w:val="3A4F6FF7"/>
    <w:rsid w:val="3A517B3B"/>
    <w:rsid w:val="3A5D40AF"/>
    <w:rsid w:val="3A6245ED"/>
    <w:rsid w:val="3A7C1DAA"/>
    <w:rsid w:val="3A7F7477"/>
    <w:rsid w:val="3A8B1BB3"/>
    <w:rsid w:val="3A954317"/>
    <w:rsid w:val="3AA15361"/>
    <w:rsid w:val="3AA84305"/>
    <w:rsid w:val="3AAC35F1"/>
    <w:rsid w:val="3AB01069"/>
    <w:rsid w:val="3AB02249"/>
    <w:rsid w:val="3AB5351D"/>
    <w:rsid w:val="3ABA4B1F"/>
    <w:rsid w:val="3ABB7710"/>
    <w:rsid w:val="3AC0379E"/>
    <w:rsid w:val="3AC03987"/>
    <w:rsid w:val="3ACB2AB8"/>
    <w:rsid w:val="3ACB494E"/>
    <w:rsid w:val="3AD41041"/>
    <w:rsid w:val="3AE95E7B"/>
    <w:rsid w:val="3AEA1793"/>
    <w:rsid w:val="3AF05F28"/>
    <w:rsid w:val="3AF77FC2"/>
    <w:rsid w:val="3B135593"/>
    <w:rsid w:val="3B1D5FF2"/>
    <w:rsid w:val="3B247E7A"/>
    <w:rsid w:val="3B3301EA"/>
    <w:rsid w:val="3B371FAF"/>
    <w:rsid w:val="3B3F68A0"/>
    <w:rsid w:val="3B406223"/>
    <w:rsid w:val="3B411C83"/>
    <w:rsid w:val="3B437575"/>
    <w:rsid w:val="3B445A14"/>
    <w:rsid w:val="3B510099"/>
    <w:rsid w:val="3B5A3C2B"/>
    <w:rsid w:val="3B5B35CC"/>
    <w:rsid w:val="3B6A7FA4"/>
    <w:rsid w:val="3B7D1DE3"/>
    <w:rsid w:val="3B8D2F36"/>
    <w:rsid w:val="3BAB563B"/>
    <w:rsid w:val="3BB53769"/>
    <w:rsid w:val="3BB902BF"/>
    <w:rsid w:val="3BB93320"/>
    <w:rsid w:val="3BBB0270"/>
    <w:rsid w:val="3BBE57B7"/>
    <w:rsid w:val="3BBF1D20"/>
    <w:rsid w:val="3BCA0EF8"/>
    <w:rsid w:val="3BD34132"/>
    <w:rsid w:val="3BE455A3"/>
    <w:rsid w:val="3BEB1216"/>
    <w:rsid w:val="3BEC3365"/>
    <w:rsid w:val="3BF14BAD"/>
    <w:rsid w:val="3BFB4FD3"/>
    <w:rsid w:val="3BFE22E7"/>
    <w:rsid w:val="3C0278F1"/>
    <w:rsid w:val="3C0940AF"/>
    <w:rsid w:val="3C1E40F1"/>
    <w:rsid w:val="3C210DA1"/>
    <w:rsid w:val="3C387931"/>
    <w:rsid w:val="3C4C738B"/>
    <w:rsid w:val="3C556FEA"/>
    <w:rsid w:val="3C566074"/>
    <w:rsid w:val="3C5F64FC"/>
    <w:rsid w:val="3C615094"/>
    <w:rsid w:val="3C654588"/>
    <w:rsid w:val="3C711142"/>
    <w:rsid w:val="3C7625E5"/>
    <w:rsid w:val="3C793336"/>
    <w:rsid w:val="3C7D62C7"/>
    <w:rsid w:val="3C807247"/>
    <w:rsid w:val="3C814BCF"/>
    <w:rsid w:val="3C834C4E"/>
    <w:rsid w:val="3CA012D3"/>
    <w:rsid w:val="3CAF3656"/>
    <w:rsid w:val="3CB9591F"/>
    <w:rsid w:val="3CCA684F"/>
    <w:rsid w:val="3CD87CE5"/>
    <w:rsid w:val="3CF810D4"/>
    <w:rsid w:val="3CF878B5"/>
    <w:rsid w:val="3CFA31FE"/>
    <w:rsid w:val="3D1665CB"/>
    <w:rsid w:val="3D1D0816"/>
    <w:rsid w:val="3D1F05EA"/>
    <w:rsid w:val="3D2820F7"/>
    <w:rsid w:val="3D292B9B"/>
    <w:rsid w:val="3D362589"/>
    <w:rsid w:val="3D3B7E48"/>
    <w:rsid w:val="3D4A4187"/>
    <w:rsid w:val="3D5331A4"/>
    <w:rsid w:val="3D6515EC"/>
    <w:rsid w:val="3D757BFC"/>
    <w:rsid w:val="3D78217F"/>
    <w:rsid w:val="3D7F5027"/>
    <w:rsid w:val="3D822306"/>
    <w:rsid w:val="3D846601"/>
    <w:rsid w:val="3D8D4C5B"/>
    <w:rsid w:val="3D990950"/>
    <w:rsid w:val="3D9B563C"/>
    <w:rsid w:val="3D9F2F43"/>
    <w:rsid w:val="3DA1484A"/>
    <w:rsid w:val="3DB83A86"/>
    <w:rsid w:val="3DD318B1"/>
    <w:rsid w:val="3DD76B16"/>
    <w:rsid w:val="3DEC237A"/>
    <w:rsid w:val="3DEF3E32"/>
    <w:rsid w:val="3DF450ED"/>
    <w:rsid w:val="3E0E748E"/>
    <w:rsid w:val="3E150FB2"/>
    <w:rsid w:val="3E1603DF"/>
    <w:rsid w:val="3E222D17"/>
    <w:rsid w:val="3E2D787A"/>
    <w:rsid w:val="3E3E71BF"/>
    <w:rsid w:val="3E4216BF"/>
    <w:rsid w:val="3E461C13"/>
    <w:rsid w:val="3E492E6F"/>
    <w:rsid w:val="3E4B63C5"/>
    <w:rsid w:val="3E4F5BAD"/>
    <w:rsid w:val="3E5159BC"/>
    <w:rsid w:val="3E572F6C"/>
    <w:rsid w:val="3E616E0F"/>
    <w:rsid w:val="3E643DC2"/>
    <w:rsid w:val="3E771D73"/>
    <w:rsid w:val="3E7746E4"/>
    <w:rsid w:val="3E796B12"/>
    <w:rsid w:val="3E7C62F4"/>
    <w:rsid w:val="3E7E75D9"/>
    <w:rsid w:val="3E861A44"/>
    <w:rsid w:val="3E8C5B70"/>
    <w:rsid w:val="3EAC7552"/>
    <w:rsid w:val="3EBB30DC"/>
    <w:rsid w:val="3EBC0187"/>
    <w:rsid w:val="3EC2705F"/>
    <w:rsid w:val="3EC95C36"/>
    <w:rsid w:val="3ED139A0"/>
    <w:rsid w:val="3ED81B0F"/>
    <w:rsid w:val="3ED82985"/>
    <w:rsid w:val="3EE11DB9"/>
    <w:rsid w:val="3EED4169"/>
    <w:rsid w:val="3EFA04CD"/>
    <w:rsid w:val="3F166C85"/>
    <w:rsid w:val="3F1755A2"/>
    <w:rsid w:val="3F19271E"/>
    <w:rsid w:val="3F2174C9"/>
    <w:rsid w:val="3F2539F3"/>
    <w:rsid w:val="3F2667ED"/>
    <w:rsid w:val="3F2E3117"/>
    <w:rsid w:val="3F303D8C"/>
    <w:rsid w:val="3F346FC8"/>
    <w:rsid w:val="3F3D35AE"/>
    <w:rsid w:val="3F436FCE"/>
    <w:rsid w:val="3F562995"/>
    <w:rsid w:val="3F5C2563"/>
    <w:rsid w:val="3F6C7257"/>
    <w:rsid w:val="3F73683D"/>
    <w:rsid w:val="3F8F2470"/>
    <w:rsid w:val="3F924486"/>
    <w:rsid w:val="3F932306"/>
    <w:rsid w:val="3F9D4869"/>
    <w:rsid w:val="3F9D5595"/>
    <w:rsid w:val="3FA776F6"/>
    <w:rsid w:val="3FB0303B"/>
    <w:rsid w:val="3FCC4417"/>
    <w:rsid w:val="3FCC5A43"/>
    <w:rsid w:val="3FDE71F7"/>
    <w:rsid w:val="3FE10966"/>
    <w:rsid w:val="3FE5707D"/>
    <w:rsid w:val="400B6168"/>
    <w:rsid w:val="400C2D52"/>
    <w:rsid w:val="400C785D"/>
    <w:rsid w:val="400E69A6"/>
    <w:rsid w:val="40216DA7"/>
    <w:rsid w:val="40237876"/>
    <w:rsid w:val="403071C4"/>
    <w:rsid w:val="4033616A"/>
    <w:rsid w:val="40336E85"/>
    <w:rsid w:val="40386E22"/>
    <w:rsid w:val="403F66AE"/>
    <w:rsid w:val="40616B63"/>
    <w:rsid w:val="40795CC3"/>
    <w:rsid w:val="409D37D8"/>
    <w:rsid w:val="40A3094D"/>
    <w:rsid w:val="40A416F9"/>
    <w:rsid w:val="40B871C9"/>
    <w:rsid w:val="40C61BF7"/>
    <w:rsid w:val="40CE4174"/>
    <w:rsid w:val="40CF1488"/>
    <w:rsid w:val="40D20597"/>
    <w:rsid w:val="40D637A8"/>
    <w:rsid w:val="40DC577F"/>
    <w:rsid w:val="40E55521"/>
    <w:rsid w:val="40E639A3"/>
    <w:rsid w:val="40FA1D61"/>
    <w:rsid w:val="41113B6A"/>
    <w:rsid w:val="411A46AB"/>
    <w:rsid w:val="412B6BA2"/>
    <w:rsid w:val="412D1718"/>
    <w:rsid w:val="412F213C"/>
    <w:rsid w:val="41301F6B"/>
    <w:rsid w:val="414333E3"/>
    <w:rsid w:val="414B6022"/>
    <w:rsid w:val="41580959"/>
    <w:rsid w:val="416A7BFD"/>
    <w:rsid w:val="41893574"/>
    <w:rsid w:val="419E6C98"/>
    <w:rsid w:val="41A07735"/>
    <w:rsid w:val="41AD0E17"/>
    <w:rsid w:val="41B0442F"/>
    <w:rsid w:val="41B13228"/>
    <w:rsid w:val="41B53EBF"/>
    <w:rsid w:val="41BF7790"/>
    <w:rsid w:val="41C14536"/>
    <w:rsid w:val="41CC5A77"/>
    <w:rsid w:val="41D01131"/>
    <w:rsid w:val="41D17B00"/>
    <w:rsid w:val="41E131C3"/>
    <w:rsid w:val="41F40239"/>
    <w:rsid w:val="41F50F1D"/>
    <w:rsid w:val="41FB6A2C"/>
    <w:rsid w:val="42021B25"/>
    <w:rsid w:val="42082D30"/>
    <w:rsid w:val="42151370"/>
    <w:rsid w:val="42164FAF"/>
    <w:rsid w:val="42227B44"/>
    <w:rsid w:val="422B7FE7"/>
    <w:rsid w:val="42347B8C"/>
    <w:rsid w:val="423F58B0"/>
    <w:rsid w:val="424A769B"/>
    <w:rsid w:val="425B4E45"/>
    <w:rsid w:val="426364A4"/>
    <w:rsid w:val="426659CA"/>
    <w:rsid w:val="427D3909"/>
    <w:rsid w:val="42833005"/>
    <w:rsid w:val="428938C8"/>
    <w:rsid w:val="428C0F63"/>
    <w:rsid w:val="42955251"/>
    <w:rsid w:val="42961E1B"/>
    <w:rsid w:val="42AE02FA"/>
    <w:rsid w:val="42B068BB"/>
    <w:rsid w:val="42B468CD"/>
    <w:rsid w:val="42B9429B"/>
    <w:rsid w:val="42B9482F"/>
    <w:rsid w:val="42C57FE3"/>
    <w:rsid w:val="42D1376A"/>
    <w:rsid w:val="42D62B95"/>
    <w:rsid w:val="42E065DF"/>
    <w:rsid w:val="42E226F1"/>
    <w:rsid w:val="42E51AAB"/>
    <w:rsid w:val="43076250"/>
    <w:rsid w:val="43151F82"/>
    <w:rsid w:val="431A2D7C"/>
    <w:rsid w:val="431C3A29"/>
    <w:rsid w:val="431E5447"/>
    <w:rsid w:val="432670F4"/>
    <w:rsid w:val="432B599B"/>
    <w:rsid w:val="43320FE8"/>
    <w:rsid w:val="4339439F"/>
    <w:rsid w:val="43412E19"/>
    <w:rsid w:val="43512293"/>
    <w:rsid w:val="43610390"/>
    <w:rsid w:val="43655414"/>
    <w:rsid w:val="436C45D3"/>
    <w:rsid w:val="437E65E4"/>
    <w:rsid w:val="43847800"/>
    <w:rsid w:val="439A4500"/>
    <w:rsid w:val="43A01D15"/>
    <w:rsid w:val="43AD0E3B"/>
    <w:rsid w:val="43B47659"/>
    <w:rsid w:val="43B83F57"/>
    <w:rsid w:val="43C00EC8"/>
    <w:rsid w:val="43C72131"/>
    <w:rsid w:val="43C77416"/>
    <w:rsid w:val="43C86844"/>
    <w:rsid w:val="43CB3585"/>
    <w:rsid w:val="43D17BF0"/>
    <w:rsid w:val="43D32144"/>
    <w:rsid w:val="43D43275"/>
    <w:rsid w:val="43D853C7"/>
    <w:rsid w:val="43D92405"/>
    <w:rsid w:val="43DF5B85"/>
    <w:rsid w:val="43E55CE7"/>
    <w:rsid w:val="43F17B3E"/>
    <w:rsid w:val="43F52B50"/>
    <w:rsid w:val="440241BD"/>
    <w:rsid w:val="44114BC2"/>
    <w:rsid w:val="444353A3"/>
    <w:rsid w:val="44455FAC"/>
    <w:rsid w:val="444855E4"/>
    <w:rsid w:val="4448573B"/>
    <w:rsid w:val="445B0912"/>
    <w:rsid w:val="44682BB3"/>
    <w:rsid w:val="446B24E6"/>
    <w:rsid w:val="44764BC2"/>
    <w:rsid w:val="447B36F1"/>
    <w:rsid w:val="448306EE"/>
    <w:rsid w:val="44857EF6"/>
    <w:rsid w:val="4491669D"/>
    <w:rsid w:val="449562D2"/>
    <w:rsid w:val="44980F16"/>
    <w:rsid w:val="44A941C7"/>
    <w:rsid w:val="44BA3AE9"/>
    <w:rsid w:val="44BB5DB6"/>
    <w:rsid w:val="44C0623F"/>
    <w:rsid w:val="44C941DA"/>
    <w:rsid w:val="44CF4A8C"/>
    <w:rsid w:val="44D63BE3"/>
    <w:rsid w:val="44D95DD7"/>
    <w:rsid w:val="44DA0635"/>
    <w:rsid w:val="44DA2AF6"/>
    <w:rsid w:val="44E55506"/>
    <w:rsid w:val="44ED0BB2"/>
    <w:rsid w:val="44F162A7"/>
    <w:rsid w:val="45013292"/>
    <w:rsid w:val="450672C8"/>
    <w:rsid w:val="450A34B2"/>
    <w:rsid w:val="450B6097"/>
    <w:rsid w:val="450D54C5"/>
    <w:rsid w:val="45157186"/>
    <w:rsid w:val="451F6997"/>
    <w:rsid w:val="451F7229"/>
    <w:rsid w:val="45275D3C"/>
    <w:rsid w:val="45283D63"/>
    <w:rsid w:val="452A6BE8"/>
    <w:rsid w:val="452D6D10"/>
    <w:rsid w:val="453C2C52"/>
    <w:rsid w:val="453F6356"/>
    <w:rsid w:val="45477A49"/>
    <w:rsid w:val="45572F91"/>
    <w:rsid w:val="45594770"/>
    <w:rsid w:val="455F4498"/>
    <w:rsid w:val="456A18DF"/>
    <w:rsid w:val="45740E86"/>
    <w:rsid w:val="45797DE3"/>
    <w:rsid w:val="457D2B7B"/>
    <w:rsid w:val="45992E38"/>
    <w:rsid w:val="45997A4E"/>
    <w:rsid w:val="459D5F23"/>
    <w:rsid w:val="45A0662F"/>
    <w:rsid w:val="45B6530E"/>
    <w:rsid w:val="45B761B6"/>
    <w:rsid w:val="45BB3E85"/>
    <w:rsid w:val="45E33B30"/>
    <w:rsid w:val="45E55915"/>
    <w:rsid w:val="45EC565F"/>
    <w:rsid w:val="45F3495A"/>
    <w:rsid w:val="45FB007C"/>
    <w:rsid w:val="460B0348"/>
    <w:rsid w:val="46125C4E"/>
    <w:rsid w:val="46137091"/>
    <w:rsid w:val="4616701D"/>
    <w:rsid w:val="46186D0F"/>
    <w:rsid w:val="4633441C"/>
    <w:rsid w:val="46363C84"/>
    <w:rsid w:val="463D127A"/>
    <w:rsid w:val="464920FF"/>
    <w:rsid w:val="46507F2F"/>
    <w:rsid w:val="465416E5"/>
    <w:rsid w:val="46581223"/>
    <w:rsid w:val="46591436"/>
    <w:rsid w:val="4661363F"/>
    <w:rsid w:val="46622683"/>
    <w:rsid w:val="466E64B7"/>
    <w:rsid w:val="46761D02"/>
    <w:rsid w:val="468329F7"/>
    <w:rsid w:val="46842753"/>
    <w:rsid w:val="469C7DFF"/>
    <w:rsid w:val="46A55E5B"/>
    <w:rsid w:val="46AC1BCF"/>
    <w:rsid w:val="46B326A4"/>
    <w:rsid w:val="46B76849"/>
    <w:rsid w:val="46B964B3"/>
    <w:rsid w:val="46BE7FB3"/>
    <w:rsid w:val="46C1358E"/>
    <w:rsid w:val="46C2390C"/>
    <w:rsid w:val="46C67FE5"/>
    <w:rsid w:val="46D21853"/>
    <w:rsid w:val="46D23370"/>
    <w:rsid w:val="46D67220"/>
    <w:rsid w:val="46D8617D"/>
    <w:rsid w:val="46DA6DE9"/>
    <w:rsid w:val="46DC1F9D"/>
    <w:rsid w:val="46DF5EEA"/>
    <w:rsid w:val="46E05056"/>
    <w:rsid w:val="46E37DAA"/>
    <w:rsid w:val="46E417EE"/>
    <w:rsid w:val="46E805C1"/>
    <w:rsid w:val="46E96B79"/>
    <w:rsid w:val="46EA0145"/>
    <w:rsid w:val="46F7784E"/>
    <w:rsid w:val="46FE26FD"/>
    <w:rsid w:val="47022B62"/>
    <w:rsid w:val="470275A3"/>
    <w:rsid w:val="471657E9"/>
    <w:rsid w:val="471F1214"/>
    <w:rsid w:val="472C4A36"/>
    <w:rsid w:val="472C799C"/>
    <w:rsid w:val="47410E2B"/>
    <w:rsid w:val="4743147C"/>
    <w:rsid w:val="47461CED"/>
    <w:rsid w:val="474F0CC2"/>
    <w:rsid w:val="4750010D"/>
    <w:rsid w:val="47521896"/>
    <w:rsid w:val="4753289C"/>
    <w:rsid w:val="475E7A1B"/>
    <w:rsid w:val="47663784"/>
    <w:rsid w:val="476F7F1E"/>
    <w:rsid w:val="47761038"/>
    <w:rsid w:val="4782366D"/>
    <w:rsid w:val="478477BF"/>
    <w:rsid w:val="47887982"/>
    <w:rsid w:val="47A14D10"/>
    <w:rsid w:val="47AC37A8"/>
    <w:rsid w:val="47BA7A7F"/>
    <w:rsid w:val="47BC192F"/>
    <w:rsid w:val="47C36D5A"/>
    <w:rsid w:val="47D146EE"/>
    <w:rsid w:val="47D80C92"/>
    <w:rsid w:val="47DD65EF"/>
    <w:rsid w:val="47E224DA"/>
    <w:rsid w:val="47E63EB0"/>
    <w:rsid w:val="47FB0A7D"/>
    <w:rsid w:val="47FB271A"/>
    <w:rsid w:val="47FD33E9"/>
    <w:rsid w:val="48082361"/>
    <w:rsid w:val="48103631"/>
    <w:rsid w:val="48116A3B"/>
    <w:rsid w:val="481A4F49"/>
    <w:rsid w:val="48207BF3"/>
    <w:rsid w:val="4828058E"/>
    <w:rsid w:val="4835467E"/>
    <w:rsid w:val="484418D4"/>
    <w:rsid w:val="48504941"/>
    <w:rsid w:val="48541A56"/>
    <w:rsid w:val="48560EF7"/>
    <w:rsid w:val="485F3D93"/>
    <w:rsid w:val="48612BE4"/>
    <w:rsid w:val="48642188"/>
    <w:rsid w:val="48786788"/>
    <w:rsid w:val="487B11C9"/>
    <w:rsid w:val="487C2509"/>
    <w:rsid w:val="487F133C"/>
    <w:rsid w:val="488957BE"/>
    <w:rsid w:val="48897001"/>
    <w:rsid w:val="489D0647"/>
    <w:rsid w:val="48A04C7F"/>
    <w:rsid w:val="48A73168"/>
    <w:rsid w:val="48B06483"/>
    <w:rsid w:val="48BD43A1"/>
    <w:rsid w:val="48D81552"/>
    <w:rsid w:val="48D8366D"/>
    <w:rsid w:val="48DB6CFF"/>
    <w:rsid w:val="48EA2B4C"/>
    <w:rsid w:val="48FB462C"/>
    <w:rsid w:val="48FD7C3D"/>
    <w:rsid w:val="49041D35"/>
    <w:rsid w:val="49042EB0"/>
    <w:rsid w:val="490C48C8"/>
    <w:rsid w:val="49182F5B"/>
    <w:rsid w:val="492D1768"/>
    <w:rsid w:val="49382013"/>
    <w:rsid w:val="4948094D"/>
    <w:rsid w:val="494B7C8C"/>
    <w:rsid w:val="49534A38"/>
    <w:rsid w:val="49577F5B"/>
    <w:rsid w:val="49590A49"/>
    <w:rsid w:val="495D420F"/>
    <w:rsid w:val="497271BB"/>
    <w:rsid w:val="497C1D1C"/>
    <w:rsid w:val="49802100"/>
    <w:rsid w:val="49831F08"/>
    <w:rsid w:val="4994097A"/>
    <w:rsid w:val="49993BA8"/>
    <w:rsid w:val="49A177C4"/>
    <w:rsid w:val="49CF34DB"/>
    <w:rsid w:val="49EC5752"/>
    <w:rsid w:val="49FA1131"/>
    <w:rsid w:val="4A117D4D"/>
    <w:rsid w:val="4A1A0CF9"/>
    <w:rsid w:val="4A1C0557"/>
    <w:rsid w:val="4A2B230E"/>
    <w:rsid w:val="4A43365A"/>
    <w:rsid w:val="4A466DFD"/>
    <w:rsid w:val="4A576003"/>
    <w:rsid w:val="4A583EFA"/>
    <w:rsid w:val="4A5B688E"/>
    <w:rsid w:val="4A6041B4"/>
    <w:rsid w:val="4A66406B"/>
    <w:rsid w:val="4A78542D"/>
    <w:rsid w:val="4AAE6CB9"/>
    <w:rsid w:val="4AB93932"/>
    <w:rsid w:val="4ABC65B3"/>
    <w:rsid w:val="4ABD14F2"/>
    <w:rsid w:val="4AC420FF"/>
    <w:rsid w:val="4ACC799C"/>
    <w:rsid w:val="4ACF43DD"/>
    <w:rsid w:val="4AD53503"/>
    <w:rsid w:val="4ADA17D2"/>
    <w:rsid w:val="4ADA5876"/>
    <w:rsid w:val="4ADD31A5"/>
    <w:rsid w:val="4AFE5FCD"/>
    <w:rsid w:val="4B012EDA"/>
    <w:rsid w:val="4B047519"/>
    <w:rsid w:val="4B1053C2"/>
    <w:rsid w:val="4B1103A6"/>
    <w:rsid w:val="4B170E51"/>
    <w:rsid w:val="4B406FEC"/>
    <w:rsid w:val="4B44027A"/>
    <w:rsid w:val="4B535B0F"/>
    <w:rsid w:val="4B5D208D"/>
    <w:rsid w:val="4B622E6E"/>
    <w:rsid w:val="4B682317"/>
    <w:rsid w:val="4B770E66"/>
    <w:rsid w:val="4B8A6B9F"/>
    <w:rsid w:val="4B8B7329"/>
    <w:rsid w:val="4B9B392C"/>
    <w:rsid w:val="4B9C4953"/>
    <w:rsid w:val="4BA243F4"/>
    <w:rsid w:val="4BA46A33"/>
    <w:rsid w:val="4BA479B1"/>
    <w:rsid w:val="4BBC45CC"/>
    <w:rsid w:val="4BC2211C"/>
    <w:rsid w:val="4BCC47C8"/>
    <w:rsid w:val="4BCF18DD"/>
    <w:rsid w:val="4BD30724"/>
    <w:rsid w:val="4BD7258C"/>
    <w:rsid w:val="4BDB01A8"/>
    <w:rsid w:val="4BDB0785"/>
    <w:rsid w:val="4BE004E2"/>
    <w:rsid w:val="4BE26C7A"/>
    <w:rsid w:val="4BE51286"/>
    <w:rsid w:val="4BE5563D"/>
    <w:rsid w:val="4BE941FB"/>
    <w:rsid w:val="4BE96F9D"/>
    <w:rsid w:val="4BEF2AB2"/>
    <w:rsid w:val="4C057F88"/>
    <w:rsid w:val="4C0F4381"/>
    <w:rsid w:val="4C18788C"/>
    <w:rsid w:val="4C321FEE"/>
    <w:rsid w:val="4C4A4648"/>
    <w:rsid w:val="4C531AD9"/>
    <w:rsid w:val="4C5A5942"/>
    <w:rsid w:val="4C6657AD"/>
    <w:rsid w:val="4C6913E5"/>
    <w:rsid w:val="4C784838"/>
    <w:rsid w:val="4C8037AE"/>
    <w:rsid w:val="4C832E02"/>
    <w:rsid w:val="4C84568C"/>
    <w:rsid w:val="4C854A3A"/>
    <w:rsid w:val="4C911064"/>
    <w:rsid w:val="4C953B5D"/>
    <w:rsid w:val="4CAD29E9"/>
    <w:rsid w:val="4CB05377"/>
    <w:rsid w:val="4CB76C18"/>
    <w:rsid w:val="4CB82F69"/>
    <w:rsid w:val="4CCA38C9"/>
    <w:rsid w:val="4CD37FAC"/>
    <w:rsid w:val="4CDE1A0F"/>
    <w:rsid w:val="4CDE566C"/>
    <w:rsid w:val="4CE03B8B"/>
    <w:rsid w:val="4CE567E9"/>
    <w:rsid w:val="4CF826A3"/>
    <w:rsid w:val="4D05508A"/>
    <w:rsid w:val="4D0B7AE4"/>
    <w:rsid w:val="4D0F43B2"/>
    <w:rsid w:val="4D192644"/>
    <w:rsid w:val="4D254D1C"/>
    <w:rsid w:val="4D2D33D9"/>
    <w:rsid w:val="4D2D6815"/>
    <w:rsid w:val="4D2E0D3C"/>
    <w:rsid w:val="4D44167E"/>
    <w:rsid w:val="4D4C1706"/>
    <w:rsid w:val="4D4D3325"/>
    <w:rsid w:val="4D507170"/>
    <w:rsid w:val="4D546472"/>
    <w:rsid w:val="4D566FBA"/>
    <w:rsid w:val="4D5C6A6D"/>
    <w:rsid w:val="4D61137D"/>
    <w:rsid w:val="4D6122A3"/>
    <w:rsid w:val="4D7866A7"/>
    <w:rsid w:val="4D7F1845"/>
    <w:rsid w:val="4D8A67DA"/>
    <w:rsid w:val="4D8B7947"/>
    <w:rsid w:val="4D943AE7"/>
    <w:rsid w:val="4D9A7380"/>
    <w:rsid w:val="4D9C3A4E"/>
    <w:rsid w:val="4DB6032F"/>
    <w:rsid w:val="4DB770C7"/>
    <w:rsid w:val="4DB85906"/>
    <w:rsid w:val="4DBD5E56"/>
    <w:rsid w:val="4DC3090F"/>
    <w:rsid w:val="4DCA7CC0"/>
    <w:rsid w:val="4DDA0944"/>
    <w:rsid w:val="4DDB5855"/>
    <w:rsid w:val="4DF26512"/>
    <w:rsid w:val="4DFD5A6F"/>
    <w:rsid w:val="4E083D60"/>
    <w:rsid w:val="4E0950FB"/>
    <w:rsid w:val="4E0A5BBD"/>
    <w:rsid w:val="4E23125E"/>
    <w:rsid w:val="4E2E772A"/>
    <w:rsid w:val="4E38395C"/>
    <w:rsid w:val="4E434E98"/>
    <w:rsid w:val="4E4E075D"/>
    <w:rsid w:val="4E573192"/>
    <w:rsid w:val="4E5C0173"/>
    <w:rsid w:val="4E673E7B"/>
    <w:rsid w:val="4E676383"/>
    <w:rsid w:val="4E694667"/>
    <w:rsid w:val="4E6A1943"/>
    <w:rsid w:val="4E80340E"/>
    <w:rsid w:val="4E80585F"/>
    <w:rsid w:val="4E835393"/>
    <w:rsid w:val="4E9D327D"/>
    <w:rsid w:val="4EA320D1"/>
    <w:rsid w:val="4EA63946"/>
    <w:rsid w:val="4EA65EF4"/>
    <w:rsid w:val="4EAE5255"/>
    <w:rsid w:val="4EB87E63"/>
    <w:rsid w:val="4EBC0AA3"/>
    <w:rsid w:val="4EC31C07"/>
    <w:rsid w:val="4ECE580B"/>
    <w:rsid w:val="4EE15E98"/>
    <w:rsid w:val="4EE20FD6"/>
    <w:rsid w:val="4EE34D4F"/>
    <w:rsid w:val="4EF26455"/>
    <w:rsid w:val="4EFD7217"/>
    <w:rsid w:val="4F02252E"/>
    <w:rsid w:val="4F1626B0"/>
    <w:rsid w:val="4F1635AB"/>
    <w:rsid w:val="4F193C2E"/>
    <w:rsid w:val="4F1E2E86"/>
    <w:rsid w:val="4F28266A"/>
    <w:rsid w:val="4F3463DE"/>
    <w:rsid w:val="4F515766"/>
    <w:rsid w:val="4F524A77"/>
    <w:rsid w:val="4F5B6DFD"/>
    <w:rsid w:val="4F6C2E02"/>
    <w:rsid w:val="4F7914C1"/>
    <w:rsid w:val="4F7C0228"/>
    <w:rsid w:val="4F80340A"/>
    <w:rsid w:val="4F816878"/>
    <w:rsid w:val="4F8234EB"/>
    <w:rsid w:val="4F901B40"/>
    <w:rsid w:val="4F9627C7"/>
    <w:rsid w:val="4FA450AC"/>
    <w:rsid w:val="4FA87F14"/>
    <w:rsid w:val="4FBF33B3"/>
    <w:rsid w:val="4FC37A1B"/>
    <w:rsid w:val="4FC802FF"/>
    <w:rsid w:val="4FCE4C9E"/>
    <w:rsid w:val="4FDE790A"/>
    <w:rsid w:val="4FDF75CA"/>
    <w:rsid w:val="4FE02AE7"/>
    <w:rsid w:val="4FE65906"/>
    <w:rsid w:val="5002580D"/>
    <w:rsid w:val="50051910"/>
    <w:rsid w:val="500F0075"/>
    <w:rsid w:val="5015696D"/>
    <w:rsid w:val="501D74BB"/>
    <w:rsid w:val="503D0C67"/>
    <w:rsid w:val="505D0E93"/>
    <w:rsid w:val="505E33D2"/>
    <w:rsid w:val="506864A0"/>
    <w:rsid w:val="506A2CAA"/>
    <w:rsid w:val="50732542"/>
    <w:rsid w:val="507F5036"/>
    <w:rsid w:val="5082218B"/>
    <w:rsid w:val="508473EB"/>
    <w:rsid w:val="50920323"/>
    <w:rsid w:val="50940B12"/>
    <w:rsid w:val="50A0041B"/>
    <w:rsid w:val="50A67EB6"/>
    <w:rsid w:val="50B1339B"/>
    <w:rsid w:val="50B70C6B"/>
    <w:rsid w:val="50BA1A6F"/>
    <w:rsid w:val="50C12149"/>
    <w:rsid w:val="50C537C4"/>
    <w:rsid w:val="50CA6EF3"/>
    <w:rsid w:val="50CC3171"/>
    <w:rsid w:val="50CE7F99"/>
    <w:rsid w:val="50D224FE"/>
    <w:rsid w:val="50D779AB"/>
    <w:rsid w:val="50DD0E91"/>
    <w:rsid w:val="50E35BE8"/>
    <w:rsid w:val="50E90AEE"/>
    <w:rsid w:val="51075B17"/>
    <w:rsid w:val="5111310C"/>
    <w:rsid w:val="51143632"/>
    <w:rsid w:val="511545C1"/>
    <w:rsid w:val="511B61E3"/>
    <w:rsid w:val="511F667B"/>
    <w:rsid w:val="512310E9"/>
    <w:rsid w:val="512D47FF"/>
    <w:rsid w:val="513C5240"/>
    <w:rsid w:val="514149D4"/>
    <w:rsid w:val="514E11E7"/>
    <w:rsid w:val="51531D4F"/>
    <w:rsid w:val="516F1636"/>
    <w:rsid w:val="51732223"/>
    <w:rsid w:val="51737331"/>
    <w:rsid w:val="51776538"/>
    <w:rsid w:val="517F3D75"/>
    <w:rsid w:val="518749EC"/>
    <w:rsid w:val="51986034"/>
    <w:rsid w:val="519A644E"/>
    <w:rsid w:val="51A23103"/>
    <w:rsid w:val="51B425EC"/>
    <w:rsid w:val="51B756B8"/>
    <w:rsid w:val="51B948A5"/>
    <w:rsid w:val="51C12CF0"/>
    <w:rsid w:val="51C60563"/>
    <w:rsid w:val="51D63FC6"/>
    <w:rsid w:val="51DE19D8"/>
    <w:rsid w:val="51E13ADB"/>
    <w:rsid w:val="51ED7FCF"/>
    <w:rsid w:val="51F03019"/>
    <w:rsid w:val="52004D55"/>
    <w:rsid w:val="5219757C"/>
    <w:rsid w:val="521C6BF3"/>
    <w:rsid w:val="5227045B"/>
    <w:rsid w:val="52273CCB"/>
    <w:rsid w:val="52387250"/>
    <w:rsid w:val="523B5862"/>
    <w:rsid w:val="5259648F"/>
    <w:rsid w:val="525B1DC1"/>
    <w:rsid w:val="525C6928"/>
    <w:rsid w:val="52672BEC"/>
    <w:rsid w:val="52810C92"/>
    <w:rsid w:val="52921FEB"/>
    <w:rsid w:val="529F48AC"/>
    <w:rsid w:val="52B32703"/>
    <w:rsid w:val="52BC09C1"/>
    <w:rsid w:val="52C469ED"/>
    <w:rsid w:val="52C56672"/>
    <w:rsid w:val="52DA7558"/>
    <w:rsid w:val="52EB488B"/>
    <w:rsid w:val="52ED01C1"/>
    <w:rsid w:val="52F83F37"/>
    <w:rsid w:val="52FB7B68"/>
    <w:rsid w:val="52FF6846"/>
    <w:rsid w:val="530069A5"/>
    <w:rsid w:val="53043A7C"/>
    <w:rsid w:val="530A5CF7"/>
    <w:rsid w:val="53153974"/>
    <w:rsid w:val="531B594C"/>
    <w:rsid w:val="531C3ECA"/>
    <w:rsid w:val="534145CC"/>
    <w:rsid w:val="5353278C"/>
    <w:rsid w:val="536656A7"/>
    <w:rsid w:val="5368637B"/>
    <w:rsid w:val="53757A4A"/>
    <w:rsid w:val="53825209"/>
    <w:rsid w:val="538C7108"/>
    <w:rsid w:val="539A0745"/>
    <w:rsid w:val="539B1AF5"/>
    <w:rsid w:val="539D6209"/>
    <w:rsid w:val="53AA5FC2"/>
    <w:rsid w:val="53BE786F"/>
    <w:rsid w:val="53C74983"/>
    <w:rsid w:val="53D31177"/>
    <w:rsid w:val="53D4470B"/>
    <w:rsid w:val="53DC6D63"/>
    <w:rsid w:val="53EF0C58"/>
    <w:rsid w:val="53EF5526"/>
    <w:rsid w:val="53F442E3"/>
    <w:rsid w:val="540A698F"/>
    <w:rsid w:val="540E7262"/>
    <w:rsid w:val="54110A2C"/>
    <w:rsid w:val="541240F2"/>
    <w:rsid w:val="543B3618"/>
    <w:rsid w:val="54506C3F"/>
    <w:rsid w:val="5461247C"/>
    <w:rsid w:val="54676039"/>
    <w:rsid w:val="548258F9"/>
    <w:rsid w:val="549952CD"/>
    <w:rsid w:val="54A02123"/>
    <w:rsid w:val="54A72CE1"/>
    <w:rsid w:val="54A77C6F"/>
    <w:rsid w:val="54AC5640"/>
    <w:rsid w:val="54BD2709"/>
    <w:rsid w:val="54BF2220"/>
    <w:rsid w:val="54C95293"/>
    <w:rsid w:val="54CE5F3F"/>
    <w:rsid w:val="54CF5854"/>
    <w:rsid w:val="54CF6410"/>
    <w:rsid w:val="54D1197A"/>
    <w:rsid w:val="54EB27FF"/>
    <w:rsid w:val="54EE2B1D"/>
    <w:rsid w:val="54F115C3"/>
    <w:rsid w:val="54F86262"/>
    <w:rsid w:val="54F86D49"/>
    <w:rsid w:val="54F937EE"/>
    <w:rsid w:val="55012903"/>
    <w:rsid w:val="5503784D"/>
    <w:rsid w:val="550B255E"/>
    <w:rsid w:val="55117A9F"/>
    <w:rsid w:val="551F2F1A"/>
    <w:rsid w:val="55217BEF"/>
    <w:rsid w:val="552307A7"/>
    <w:rsid w:val="55301AEB"/>
    <w:rsid w:val="55405E31"/>
    <w:rsid w:val="55464886"/>
    <w:rsid w:val="5553461C"/>
    <w:rsid w:val="555A1576"/>
    <w:rsid w:val="555A61FA"/>
    <w:rsid w:val="555B790A"/>
    <w:rsid w:val="555E07E4"/>
    <w:rsid w:val="5567737F"/>
    <w:rsid w:val="556869CA"/>
    <w:rsid w:val="55737B32"/>
    <w:rsid w:val="55744BF2"/>
    <w:rsid w:val="557F757A"/>
    <w:rsid w:val="55837950"/>
    <w:rsid w:val="558576DE"/>
    <w:rsid w:val="5589224B"/>
    <w:rsid w:val="55936FAF"/>
    <w:rsid w:val="5594058C"/>
    <w:rsid w:val="55996C79"/>
    <w:rsid w:val="55B13E3B"/>
    <w:rsid w:val="55B52431"/>
    <w:rsid w:val="55C02117"/>
    <w:rsid w:val="55C26594"/>
    <w:rsid w:val="55D01C78"/>
    <w:rsid w:val="55DB21E0"/>
    <w:rsid w:val="55DD55F2"/>
    <w:rsid w:val="55E120F9"/>
    <w:rsid w:val="55E7307C"/>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4134FF"/>
    <w:rsid w:val="564239D9"/>
    <w:rsid w:val="56467FF3"/>
    <w:rsid w:val="564F41F3"/>
    <w:rsid w:val="56512343"/>
    <w:rsid w:val="5665501B"/>
    <w:rsid w:val="566A6A35"/>
    <w:rsid w:val="56706303"/>
    <w:rsid w:val="56713B56"/>
    <w:rsid w:val="56786FE9"/>
    <w:rsid w:val="56832B27"/>
    <w:rsid w:val="568458F5"/>
    <w:rsid w:val="56865824"/>
    <w:rsid w:val="56882238"/>
    <w:rsid w:val="569D1474"/>
    <w:rsid w:val="569E4229"/>
    <w:rsid w:val="569E4306"/>
    <w:rsid w:val="56A919E0"/>
    <w:rsid w:val="56AC720B"/>
    <w:rsid w:val="56B61A81"/>
    <w:rsid w:val="56B77FA2"/>
    <w:rsid w:val="56C10E54"/>
    <w:rsid w:val="56C5400E"/>
    <w:rsid w:val="56C75BDF"/>
    <w:rsid w:val="56C93F20"/>
    <w:rsid w:val="56CA3770"/>
    <w:rsid w:val="56D10A63"/>
    <w:rsid w:val="56D45E0D"/>
    <w:rsid w:val="56D836CE"/>
    <w:rsid w:val="56E57B48"/>
    <w:rsid w:val="571D6447"/>
    <w:rsid w:val="57280976"/>
    <w:rsid w:val="57354289"/>
    <w:rsid w:val="573D51B6"/>
    <w:rsid w:val="573F2B69"/>
    <w:rsid w:val="573F3C97"/>
    <w:rsid w:val="57450C65"/>
    <w:rsid w:val="574552E5"/>
    <w:rsid w:val="574719D8"/>
    <w:rsid w:val="575A35E1"/>
    <w:rsid w:val="57623B1E"/>
    <w:rsid w:val="576F1DFA"/>
    <w:rsid w:val="576F660E"/>
    <w:rsid w:val="5775154F"/>
    <w:rsid w:val="5779730A"/>
    <w:rsid w:val="57830F48"/>
    <w:rsid w:val="57905B78"/>
    <w:rsid w:val="579319BB"/>
    <w:rsid w:val="57A13F78"/>
    <w:rsid w:val="57C063CC"/>
    <w:rsid w:val="57C628EA"/>
    <w:rsid w:val="57D06542"/>
    <w:rsid w:val="57E04C87"/>
    <w:rsid w:val="57E71AA0"/>
    <w:rsid w:val="57EA2136"/>
    <w:rsid w:val="57EE6184"/>
    <w:rsid w:val="57EE6DA9"/>
    <w:rsid w:val="580223A6"/>
    <w:rsid w:val="581113AC"/>
    <w:rsid w:val="5815798C"/>
    <w:rsid w:val="58194C0A"/>
    <w:rsid w:val="5823457C"/>
    <w:rsid w:val="5825789F"/>
    <w:rsid w:val="58292676"/>
    <w:rsid w:val="582F6754"/>
    <w:rsid w:val="582F6A56"/>
    <w:rsid w:val="5832401F"/>
    <w:rsid w:val="5834125E"/>
    <w:rsid w:val="583824A8"/>
    <w:rsid w:val="583B1511"/>
    <w:rsid w:val="58524DC5"/>
    <w:rsid w:val="58573197"/>
    <w:rsid w:val="586109DD"/>
    <w:rsid w:val="58660B40"/>
    <w:rsid w:val="58677666"/>
    <w:rsid w:val="586F19E4"/>
    <w:rsid w:val="58740764"/>
    <w:rsid w:val="5881370C"/>
    <w:rsid w:val="58873304"/>
    <w:rsid w:val="588F3BEB"/>
    <w:rsid w:val="58911207"/>
    <w:rsid w:val="58991D80"/>
    <w:rsid w:val="589B3467"/>
    <w:rsid w:val="589E55F0"/>
    <w:rsid w:val="58A3057A"/>
    <w:rsid w:val="58A37C7D"/>
    <w:rsid w:val="58AC5E3F"/>
    <w:rsid w:val="58B54BEC"/>
    <w:rsid w:val="58C75AF6"/>
    <w:rsid w:val="58CD0295"/>
    <w:rsid w:val="58CF137E"/>
    <w:rsid w:val="58D2470F"/>
    <w:rsid w:val="58DA5EEB"/>
    <w:rsid w:val="58DF4B43"/>
    <w:rsid w:val="58DF6C38"/>
    <w:rsid w:val="58FC102D"/>
    <w:rsid w:val="590025FF"/>
    <w:rsid w:val="5905168A"/>
    <w:rsid w:val="5911503F"/>
    <w:rsid w:val="592767A4"/>
    <w:rsid w:val="593C14F7"/>
    <w:rsid w:val="59420742"/>
    <w:rsid w:val="59493AAF"/>
    <w:rsid w:val="59567C0D"/>
    <w:rsid w:val="5960630C"/>
    <w:rsid w:val="59636E6A"/>
    <w:rsid w:val="59657E55"/>
    <w:rsid w:val="59693F3F"/>
    <w:rsid w:val="59805F88"/>
    <w:rsid w:val="59854E4C"/>
    <w:rsid w:val="598B23FC"/>
    <w:rsid w:val="598D1777"/>
    <w:rsid w:val="59944691"/>
    <w:rsid w:val="59A74A0C"/>
    <w:rsid w:val="59C32D24"/>
    <w:rsid w:val="59D43EA9"/>
    <w:rsid w:val="59D735BF"/>
    <w:rsid w:val="59E22562"/>
    <w:rsid w:val="59E769D4"/>
    <w:rsid w:val="59EA3857"/>
    <w:rsid w:val="59ED6F0F"/>
    <w:rsid w:val="59F435A6"/>
    <w:rsid w:val="59F84F1F"/>
    <w:rsid w:val="59FA1EE3"/>
    <w:rsid w:val="5A026EE9"/>
    <w:rsid w:val="5A041D3E"/>
    <w:rsid w:val="5A044AA7"/>
    <w:rsid w:val="5A104AAF"/>
    <w:rsid w:val="5A134EEB"/>
    <w:rsid w:val="5A1B5FA4"/>
    <w:rsid w:val="5A1F7BAE"/>
    <w:rsid w:val="5A242A8E"/>
    <w:rsid w:val="5A2536DB"/>
    <w:rsid w:val="5A3E2EA1"/>
    <w:rsid w:val="5A4011EC"/>
    <w:rsid w:val="5A4B12BA"/>
    <w:rsid w:val="5A4D7831"/>
    <w:rsid w:val="5A506DE2"/>
    <w:rsid w:val="5A562234"/>
    <w:rsid w:val="5A604B50"/>
    <w:rsid w:val="5A6713C8"/>
    <w:rsid w:val="5A6831C3"/>
    <w:rsid w:val="5A6E27C4"/>
    <w:rsid w:val="5A73314D"/>
    <w:rsid w:val="5A7A3E8A"/>
    <w:rsid w:val="5A811A93"/>
    <w:rsid w:val="5A8F5DFF"/>
    <w:rsid w:val="5A905DB6"/>
    <w:rsid w:val="5A9A59B1"/>
    <w:rsid w:val="5AA07A4A"/>
    <w:rsid w:val="5AA42655"/>
    <w:rsid w:val="5AA932E2"/>
    <w:rsid w:val="5ABA65CB"/>
    <w:rsid w:val="5AC64A57"/>
    <w:rsid w:val="5AC707E8"/>
    <w:rsid w:val="5ACC0875"/>
    <w:rsid w:val="5ACC0AA7"/>
    <w:rsid w:val="5ACE60D0"/>
    <w:rsid w:val="5AEA57A3"/>
    <w:rsid w:val="5AF33833"/>
    <w:rsid w:val="5AF5430C"/>
    <w:rsid w:val="5B0301C6"/>
    <w:rsid w:val="5B05465E"/>
    <w:rsid w:val="5B0D54D5"/>
    <w:rsid w:val="5B0F6685"/>
    <w:rsid w:val="5B3031B6"/>
    <w:rsid w:val="5B320092"/>
    <w:rsid w:val="5B342D59"/>
    <w:rsid w:val="5B3A5809"/>
    <w:rsid w:val="5B4E6F1F"/>
    <w:rsid w:val="5B5D5BD2"/>
    <w:rsid w:val="5B680989"/>
    <w:rsid w:val="5B6A4E9F"/>
    <w:rsid w:val="5B773CD4"/>
    <w:rsid w:val="5B7F2155"/>
    <w:rsid w:val="5B974D22"/>
    <w:rsid w:val="5BA14862"/>
    <w:rsid w:val="5BAF1296"/>
    <w:rsid w:val="5BBE7A7E"/>
    <w:rsid w:val="5BC54189"/>
    <w:rsid w:val="5BC873A5"/>
    <w:rsid w:val="5BCC0968"/>
    <w:rsid w:val="5BD0285B"/>
    <w:rsid w:val="5BD93541"/>
    <w:rsid w:val="5BDC5BD7"/>
    <w:rsid w:val="5BE76901"/>
    <w:rsid w:val="5BEA490A"/>
    <w:rsid w:val="5BFF1650"/>
    <w:rsid w:val="5C0349A2"/>
    <w:rsid w:val="5C064E15"/>
    <w:rsid w:val="5C0965AE"/>
    <w:rsid w:val="5C0C0985"/>
    <w:rsid w:val="5C0E27BF"/>
    <w:rsid w:val="5C2061EC"/>
    <w:rsid w:val="5C2B627C"/>
    <w:rsid w:val="5C340589"/>
    <w:rsid w:val="5C377624"/>
    <w:rsid w:val="5C3E77A6"/>
    <w:rsid w:val="5C412B70"/>
    <w:rsid w:val="5C4511C2"/>
    <w:rsid w:val="5C511B0B"/>
    <w:rsid w:val="5C56020E"/>
    <w:rsid w:val="5C5B0B37"/>
    <w:rsid w:val="5C6A687A"/>
    <w:rsid w:val="5C733486"/>
    <w:rsid w:val="5C7670A5"/>
    <w:rsid w:val="5C7B26BF"/>
    <w:rsid w:val="5C7B6C17"/>
    <w:rsid w:val="5C7D6637"/>
    <w:rsid w:val="5C8D05C7"/>
    <w:rsid w:val="5C8D1EB7"/>
    <w:rsid w:val="5C8F4279"/>
    <w:rsid w:val="5C937CB2"/>
    <w:rsid w:val="5C944A99"/>
    <w:rsid w:val="5C9B7275"/>
    <w:rsid w:val="5CA15A78"/>
    <w:rsid w:val="5CA416D8"/>
    <w:rsid w:val="5CAA7166"/>
    <w:rsid w:val="5CAB106D"/>
    <w:rsid w:val="5CAD0CA1"/>
    <w:rsid w:val="5CBB4D16"/>
    <w:rsid w:val="5CC00C64"/>
    <w:rsid w:val="5CC923D3"/>
    <w:rsid w:val="5CD67F07"/>
    <w:rsid w:val="5CDB06AC"/>
    <w:rsid w:val="5CDF59F4"/>
    <w:rsid w:val="5CE2303B"/>
    <w:rsid w:val="5CEE79FF"/>
    <w:rsid w:val="5CF064AB"/>
    <w:rsid w:val="5CF133D1"/>
    <w:rsid w:val="5CF2118B"/>
    <w:rsid w:val="5CF33CCF"/>
    <w:rsid w:val="5CF529D1"/>
    <w:rsid w:val="5CF72E70"/>
    <w:rsid w:val="5D010A36"/>
    <w:rsid w:val="5D086DE0"/>
    <w:rsid w:val="5D0B17F9"/>
    <w:rsid w:val="5D0E19DC"/>
    <w:rsid w:val="5D0F06B5"/>
    <w:rsid w:val="5D130187"/>
    <w:rsid w:val="5D277A3F"/>
    <w:rsid w:val="5D404BDD"/>
    <w:rsid w:val="5D4414C4"/>
    <w:rsid w:val="5D451506"/>
    <w:rsid w:val="5D476B31"/>
    <w:rsid w:val="5D542A41"/>
    <w:rsid w:val="5D6048B1"/>
    <w:rsid w:val="5D68099F"/>
    <w:rsid w:val="5D7277E1"/>
    <w:rsid w:val="5D89239D"/>
    <w:rsid w:val="5D8B7642"/>
    <w:rsid w:val="5D9364D0"/>
    <w:rsid w:val="5D941023"/>
    <w:rsid w:val="5D9446FC"/>
    <w:rsid w:val="5D945809"/>
    <w:rsid w:val="5DA24A75"/>
    <w:rsid w:val="5DA37A28"/>
    <w:rsid w:val="5DA43A36"/>
    <w:rsid w:val="5DBB1833"/>
    <w:rsid w:val="5DBD4FB2"/>
    <w:rsid w:val="5DC10AA6"/>
    <w:rsid w:val="5DCB38D8"/>
    <w:rsid w:val="5DCC0302"/>
    <w:rsid w:val="5DCC1273"/>
    <w:rsid w:val="5DD720A6"/>
    <w:rsid w:val="5DDC3084"/>
    <w:rsid w:val="5DDD06E5"/>
    <w:rsid w:val="5DE572D8"/>
    <w:rsid w:val="5DE919EB"/>
    <w:rsid w:val="5DED35AF"/>
    <w:rsid w:val="5DF47982"/>
    <w:rsid w:val="5E0607E2"/>
    <w:rsid w:val="5E164C8C"/>
    <w:rsid w:val="5E172580"/>
    <w:rsid w:val="5E1C531C"/>
    <w:rsid w:val="5E1D027C"/>
    <w:rsid w:val="5E233E8C"/>
    <w:rsid w:val="5E2E6C70"/>
    <w:rsid w:val="5E36149E"/>
    <w:rsid w:val="5E363C81"/>
    <w:rsid w:val="5E377C81"/>
    <w:rsid w:val="5E4359DA"/>
    <w:rsid w:val="5E4F5801"/>
    <w:rsid w:val="5E585E7C"/>
    <w:rsid w:val="5E6030AB"/>
    <w:rsid w:val="5E615A04"/>
    <w:rsid w:val="5E832A97"/>
    <w:rsid w:val="5E9F226B"/>
    <w:rsid w:val="5EA71D43"/>
    <w:rsid w:val="5EB2173A"/>
    <w:rsid w:val="5EC26556"/>
    <w:rsid w:val="5EC964B1"/>
    <w:rsid w:val="5ECF5F81"/>
    <w:rsid w:val="5ED23A82"/>
    <w:rsid w:val="5EDC3E75"/>
    <w:rsid w:val="5EE33D30"/>
    <w:rsid w:val="5EE66676"/>
    <w:rsid w:val="5EF04A03"/>
    <w:rsid w:val="5EF27829"/>
    <w:rsid w:val="5EFD61E5"/>
    <w:rsid w:val="5F000C2F"/>
    <w:rsid w:val="5F046F9E"/>
    <w:rsid w:val="5F1A6363"/>
    <w:rsid w:val="5F1D49EB"/>
    <w:rsid w:val="5F1F0600"/>
    <w:rsid w:val="5F25246D"/>
    <w:rsid w:val="5F2705A3"/>
    <w:rsid w:val="5F2C092C"/>
    <w:rsid w:val="5F2E3297"/>
    <w:rsid w:val="5F332996"/>
    <w:rsid w:val="5F354A9B"/>
    <w:rsid w:val="5F376BC0"/>
    <w:rsid w:val="5F391735"/>
    <w:rsid w:val="5F3A1804"/>
    <w:rsid w:val="5F453884"/>
    <w:rsid w:val="5F4B2A33"/>
    <w:rsid w:val="5F5A7AC1"/>
    <w:rsid w:val="5F6415CB"/>
    <w:rsid w:val="5F6A47BE"/>
    <w:rsid w:val="5F705602"/>
    <w:rsid w:val="5F725126"/>
    <w:rsid w:val="5F79008D"/>
    <w:rsid w:val="5F8A5B63"/>
    <w:rsid w:val="5F9C7E15"/>
    <w:rsid w:val="5FA24091"/>
    <w:rsid w:val="5FA90EAA"/>
    <w:rsid w:val="5FAD2507"/>
    <w:rsid w:val="5FB5056B"/>
    <w:rsid w:val="5FB91056"/>
    <w:rsid w:val="5FC97CC1"/>
    <w:rsid w:val="5FD75773"/>
    <w:rsid w:val="5FE0727E"/>
    <w:rsid w:val="5FE259DC"/>
    <w:rsid w:val="5FE31074"/>
    <w:rsid w:val="5FEE71FF"/>
    <w:rsid w:val="60014636"/>
    <w:rsid w:val="6008237F"/>
    <w:rsid w:val="6018300D"/>
    <w:rsid w:val="601E6A9C"/>
    <w:rsid w:val="60330A86"/>
    <w:rsid w:val="60421020"/>
    <w:rsid w:val="60492A6C"/>
    <w:rsid w:val="604C07B5"/>
    <w:rsid w:val="60591498"/>
    <w:rsid w:val="605D5CEF"/>
    <w:rsid w:val="60605DD2"/>
    <w:rsid w:val="60695F63"/>
    <w:rsid w:val="606A4E72"/>
    <w:rsid w:val="606E4228"/>
    <w:rsid w:val="607708A5"/>
    <w:rsid w:val="607C4EFB"/>
    <w:rsid w:val="60855E3E"/>
    <w:rsid w:val="60880328"/>
    <w:rsid w:val="608970FE"/>
    <w:rsid w:val="608E099E"/>
    <w:rsid w:val="60951F22"/>
    <w:rsid w:val="60A04B7D"/>
    <w:rsid w:val="60A42428"/>
    <w:rsid w:val="60AD7626"/>
    <w:rsid w:val="60B15498"/>
    <w:rsid w:val="60B3215A"/>
    <w:rsid w:val="60B84B8C"/>
    <w:rsid w:val="60BA4D63"/>
    <w:rsid w:val="60BA7424"/>
    <w:rsid w:val="60C43312"/>
    <w:rsid w:val="60D04397"/>
    <w:rsid w:val="60D376E1"/>
    <w:rsid w:val="60DE3406"/>
    <w:rsid w:val="60F75628"/>
    <w:rsid w:val="60F77754"/>
    <w:rsid w:val="61041FB9"/>
    <w:rsid w:val="61056BEF"/>
    <w:rsid w:val="610B1677"/>
    <w:rsid w:val="610D416E"/>
    <w:rsid w:val="612000C9"/>
    <w:rsid w:val="61235D06"/>
    <w:rsid w:val="614101F2"/>
    <w:rsid w:val="61475FE0"/>
    <w:rsid w:val="614F312B"/>
    <w:rsid w:val="61541680"/>
    <w:rsid w:val="61645DD7"/>
    <w:rsid w:val="616D378A"/>
    <w:rsid w:val="61877058"/>
    <w:rsid w:val="618F3CAF"/>
    <w:rsid w:val="618F511D"/>
    <w:rsid w:val="61982FC9"/>
    <w:rsid w:val="619D76F0"/>
    <w:rsid w:val="61A578A0"/>
    <w:rsid w:val="61AA6A18"/>
    <w:rsid w:val="61AB1CA9"/>
    <w:rsid w:val="61B8130F"/>
    <w:rsid w:val="61C7670E"/>
    <w:rsid w:val="61E64F5C"/>
    <w:rsid w:val="61EA2D3F"/>
    <w:rsid w:val="61ED7541"/>
    <w:rsid w:val="61F32456"/>
    <w:rsid w:val="61F507EA"/>
    <w:rsid w:val="61F74C24"/>
    <w:rsid w:val="62066181"/>
    <w:rsid w:val="62083044"/>
    <w:rsid w:val="62084BBA"/>
    <w:rsid w:val="620E7C4B"/>
    <w:rsid w:val="62110EF2"/>
    <w:rsid w:val="62177F62"/>
    <w:rsid w:val="6221152F"/>
    <w:rsid w:val="62412709"/>
    <w:rsid w:val="624308F5"/>
    <w:rsid w:val="624E7BD0"/>
    <w:rsid w:val="624F7DE9"/>
    <w:rsid w:val="625304B3"/>
    <w:rsid w:val="6264583D"/>
    <w:rsid w:val="62687AF7"/>
    <w:rsid w:val="627377DF"/>
    <w:rsid w:val="627B1D68"/>
    <w:rsid w:val="628162F5"/>
    <w:rsid w:val="62847941"/>
    <w:rsid w:val="628B3E46"/>
    <w:rsid w:val="62942A2A"/>
    <w:rsid w:val="6294354D"/>
    <w:rsid w:val="629755E5"/>
    <w:rsid w:val="62994FB6"/>
    <w:rsid w:val="629B7761"/>
    <w:rsid w:val="62A02387"/>
    <w:rsid w:val="62AA1357"/>
    <w:rsid w:val="62AA4B98"/>
    <w:rsid w:val="62AB0DB7"/>
    <w:rsid w:val="62AC6111"/>
    <w:rsid w:val="62B0717E"/>
    <w:rsid w:val="62B4675E"/>
    <w:rsid w:val="62B662BE"/>
    <w:rsid w:val="62D526B3"/>
    <w:rsid w:val="62DA27AB"/>
    <w:rsid w:val="62E9025D"/>
    <w:rsid w:val="62EA0F25"/>
    <w:rsid w:val="62FE0BFA"/>
    <w:rsid w:val="63032098"/>
    <w:rsid w:val="630436DF"/>
    <w:rsid w:val="630775BB"/>
    <w:rsid w:val="630B55DF"/>
    <w:rsid w:val="630D1D83"/>
    <w:rsid w:val="6318518B"/>
    <w:rsid w:val="631D6CA7"/>
    <w:rsid w:val="6323360C"/>
    <w:rsid w:val="63245A57"/>
    <w:rsid w:val="6325149A"/>
    <w:rsid w:val="63270D6F"/>
    <w:rsid w:val="63436CC3"/>
    <w:rsid w:val="63474066"/>
    <w:rsid w:val="63596981"/>
    <w:rsid w:val="635E5733"/>
    <w:rsid w:val="63635154"/>
    <w:rsid w:val="636664C2"/>
    <w:rsid w:val="63683EDA"/>
    <w:rsid w:val="636B5E9C"/>
    <w:rsid w:val="63740747"/>
    <w:rsid w:val="63894E97"/>
    <w:rsid w:val="6392209B"/>
    <w:rsid w:val="63950A25"/>
    <w:rsid w:val="63A60220"/>
    <w:rsid w:val="63BE6664"/>
    <w:rsid w:val="63C20597"/>
    <w:rsid w:val="63C80E95"/>
    <w:rsid w:val="63CA2C7B"/>
    <w:rsid w:val="63CE10B3"/>
    <w:rsid w:val="63CF2840"/>
    <w:rsid w:val="63DC7F8C"/>
    <w:rsid w:val="63E02E36"/>
    <w:rsid w:val="63EB3B6A"/>
    <w:rsid w:val="63FA0ADB"/>
    <w:rsid w:val="63FB7C21"/>
    <w:rsid w:val="640121BF"/>
    <w:rsid w:val="640300AA"/>
    <w:rsid w:val="64070120"/>
    <w:rsid w:val="641E58AB"/>
    <w:rsid w:val="64290E1E"/>
    <w:rsid w:val="64316EE4"/>
    <w:rsid w:val="644175CD"/>
    <w:rsid w:val="644C6CB5"/>
    <w:rsid w:val="644D754B"/>
    <w:rsid w:val="64585FA0"/>
    <w:rsid w:val="64664FD2"/>
    <w:rsid w:val="646F4BF3"/>
    <w:rsid w:val="64707447"/>
    <w:rsid w:val="647E43B9"/>
    <w:rsid w:val="647F3C53"/>
    <w:rsid w:val="648230AF"/>
    <w:rsid w:val="64863E02"/>
    <w:rsid w:val="648C5397"/>
    <w:rsid w:val="648E528A"/>
    <w:rsid w:val="649411BD"/>
    <w:rsid w:val="64A6773B"/>
    <w:rsid w:val="64B41518"/>
    <w:rsid w:val="64CA75D1"/>
    <w:rsid w:val="64CD7A52"/>
    <w:rsid w:val="64CE6F46"/>
    <w:rsid w:val="64D11D0A"/>
    <w:rsid w:val="64DC0A41"/>
    <w:rsid w:val="64ED25B6"/>
    <w:rsid w:val="64EE6C4C"/>
    <w:rsid w:val="650769F0"/>
    <w:rsid w:val="650C6126"/>
    <w:rsid w:val="65104323"/>
    <w:rsid w:val="651F0386"/>
    <w:rsid w:val="65212AE8"/>
    <w:rsid w:val="65224ABA"/>
    <w:rsid w:val="652D119E"/>
    <w:rsid w:val="65384C9D"/>
    <w:rsid w:val="653B0C2E"/>
    <w:rsid w:val="654D47C0"/>
    <w:rsid w:val="65502950"/>
    <w:rsid w:val="6551495B"/>
    <w:rsid w:val="655709E9"/>
    <w:rsid w:val="655B75A2"/>
    <w:rsid w:val="655F405B"/>
    <w:rsid w:val="65681312"/>
    <w:rsid w:val="656958A2"/>
    <w:rsid w:val="65781F59"/>
    <w:rsid w:val="657A2FDC"/>
    <w:rsid w:val="657C41E0"/>
    <w:rsid w:val="658553F2"/>
    <w:rsid w:val="658E2A5C"/>
    <w:rsid w:val="6591298B"/>
    <w:rsid w:val="65916461"/>
    <w:rsid w:val="659D2B39"/>
    <w:rsid w:val="659D6D72"/>
    <w:rsid w:val="65A70EF6"/>
    <w:rsid w:val="65AB1D23"/>
    <w:rsid w:val="65AF68E8"/>
    <w:rsid w:val="65D04DB0"/>
    <w:rsid w:val="65D31CBC"/>
    <w:rsid w:val="65DC0DC4"/>
    <w:rsid w:val="65DC667F"/>
    <w:rsid w:val="65E13AA0"/>
    <w:rsid w:val="65EF3499"/>
    <w:rsid w:val="65F21931"/>
    <w:rsid w:val="65F8457B"/>
    <w:rsid w:val="66142811"/>
    <w:rsid w:val="66257927"/>
    <w:rsid w:val="662C7162"/>
    <w:rsid w:val="662C77C1"/>
    <w:rsid w:val="662E1638"/>
    <w:rsid w:val="6631640B"/>
    <w:rsid w:val="66340B79"/>
    <w:rsid w:val="664966B8"/>
    <w:rsid w:val="664A3F0E"/>
    <w:rsid w:val="66512676"/>
    <w:rsid w:val="66543021"/>
    <w:rsid w:val="665D11F2"/>
    <w:rsid w:val="666504BA"/>
    <w:rsid w:val="666D15E0"/>
    <w:rsid w:val="666F2DDE"/>
    <w:rsid w:val="667353A7"/>
    <w:rsid w:val="66747039"/>
    <w:rsid w:val="667F0D11"/>
    <w:rsid w:val="66803F81"/>
    <w:rsid w:val="66833864"/>
    <w:rsid w:val="66882856"/>
    <w:rsid w:val="66921986"/>
    <w:rsid w:val="669B075C"/>
    <w:rsid w:val="66A067B2"/>
    <w:rsid w:val="66A07BB4"/>
    <w:rsid w:val="66A94B81"/>
    <w:rsid w:val="66AC6382"/>
    <w:rsid w:val="66AE0D80"/>
    <w:rsid w:val="66BD0939"/>
    <w:rsid w:val="66C45AC8"/>
    <w:rsid w:val="66D142EA"/>
    <w:rsid w:val="66ED6435"/>
    <w:rsid w:val="66F806B8"/>
    <w:rsid w:val="66F922F3"/>
    <w:rsid w:val="67082A65"/>
    <w:rsid w:val="670C5315"/>
    <w:rsid w:val="671123B2"/>
    <w:rsid w:val="67122717"/>
    <w:rsid w:val="67147592"/>
    <w:rsid w:val="671A3B30"/>
    <w:rsid w:val="671B1B90"/>
    <w:rsid w:val="671B55F3"/>
    <w:rsid w:val="671D0783"/>
    <w:rsid w:val="6726021E"/>
    <w:rsid w:val="672915D1"/>
    <w:rsid w:val="672C4366"/>
    <w:rsid w:val="6736595B"/>
    <w:rsid w:val="673F439C"/>
    <w:rsid w:val="673F6043"/>
    <w:rsid w:val="67473121"/>
    <w:rsid w:val="67491781"/>
    <w:rsid w:val="674B4D84"/>
    <w:rsid w:val="674C5C33"/>
    <w:rsid w:val="67595E9D"/>
    <w:rsid w:val="676E762F"/>
    <w:rsid w:val="677E499B"/>
    <w:rsid w:val="67890D24"/>
    <w:rsid w:val="67930218"/>
    <w:rsid w:val="6796398B"/>
    <w:rsid w:val="67967040"/>
    <w:rsid w:val="67A11539"/>
    <w:rsid w:val="67A15BDF"/>
    <w:rsid w:val="67B42577"/>
    <w:rsid w:val="67C06E5D"/>
    <w:rsid w:val="67E91696"/>
    <w:rsid w:val="67E97355"/>
    <w:rsid w:val="67ED3053"/>
    <w:rsid w:val="67F13ECC"/>
    <w:rsid w:val="67FA5B6F"/>
    <w:rsid w:val="680A6427"/>
    <w:rsid w:val="681B38A4"/>
    <w:rsid w:val="681D421C"/>
    <w:rsid w:val="682656AF"/>
    <w:rsid w:val="68360D3C"/>
    <w:rsid w:val="683930E2"/>
    <w:rsid w:val="68405D25"/>
    <w:rsid w:val="684F6E3F"/>
    <w:rsid w:val="68547DBB"/>
    <w:rsid w:val="68557180"/>
    <w:rsid w:val="68585CD9"/>
    <w:rsid w:val="68630D34"/>
    <w:rsid w:val="6869372C"/>
    <w:rsid w:val="68736B47"/>
    <w:rsid w:val="688A194A"/>
    <w:rsid w:val="688C5D93"/>
    <w:rsid w:val="68902745"/>
    <w:rsid w:val="68B0668D"/>
    <w:rsid w:val="68B63481"/>
    <w:rsid w:val="68CE1AE7"/>
    <w:rsid w:val="68CF496F"/>
    <w:rsid w:val="68D73767"/>
    <w:rsid w:val="68DB18FA"/>
    <w:rsid w:val="68DE2191"/>
    <w:rsid w:val="68E95D94"/>
    <w:rsid w:val="68ED5D90"/>
    <w:rsid w:val="68F55D76"/>
    <w:rsid w:val="69040288"/>
    <w:rsid w:val="690B03F6"/>
    <w:rsid w:val="690F6CF9"/>
    <w:rsid w:val="6920119F"/>
    <w:rsid w:val="692B42F7"/>
    <w:rsid w:val="692C62A4"/>
    <w:rsid w:val="692D03C5"/>
    <w:rsid w:val="693E2B71"/>
    <w:rsid w:val="69463A98"/>
    <w:rsid w:val="694A6B59"/>
    <w:rsid w:val="694F0814"/>
    <w:rsid w:val="695D1561"/>
    <w:rsid w:val="696E41D8"/>
    <w:rsid w:val="69743F4F"/>
    <w:rsid w:val="697A64DF"/>
    <w:rsid w:val="697C53AC"/>
    <w:rsid w:val="69910008"/>
    <w:rsid w:val="6998738B"/>
    <w:rsid w:val="69A845E1"/>
    <w:rsid w:val="69B57F8E"/>
    <w:rsid w:val="69B71426"/>
    <w:rsid w:val="69B762B5"/>
    <w:rsid w:val="69BD3A29"/>
    <w:rsid w:val="69C543D9"/>
    <w:rsid w:val="69CA35DB"/>
    <w:rsid w:val="69DC4E1A"/>
    <w:rsid w:val="69E35E34"/>
    <w:rsid w:val="69E4663E"/>
    <w:rsid w:val="69E8099D"/>
    <w:rsid w:val="69E81016"/>
    <w:rsid w:val="69EA7AD1"/>
    <w:rsid w:val="69FA2B45"/>
    <w:rsid w:val="69FB3515"/>
    <w:rsid w:val="6A013DAB"/>
    <w:rsid w:val="6A0424C8"/>
    <w:rsid w:val="6A0C70A8"/>
    <w:rsid w:val="6A1030F4"/>
    <w:rsid w:val="6A131DE5"/>
    <w:rsid w:val="6A160F6A"/>
    <w:rsid w:val="6A277D9B"/>
    <w:rsid w:val="6A2E0DE5"/>
    <w:rsid w:val="6A326B3C"/>
    <w:rsid w:val="6A3276D2"/>
    <w:rsid w:val="6A3535E3"/>
    <w:rsid w:val="6A3F36C6"/>
    <w:rsid w:val="6A4956DC"/>
    <w:rsid w:val="6A4A33F7"/>
    <w:rsid w:val="6A516187"/>
    <w:rsid w:val="6A554152"/>
    <w:rsid w:val="6A561C4A"/>
    <w:rsid w:val="6A5E4327"/>
    <w:rsid w:val="6A5F1AC9"/>
    <w:rsid w:val="6A627C7D"/>
    <w:rsid w:val="6A864858"/>
    <w:rsid w:val="6A88795B"/>
    <w:rsid w:val="6A8F519A"/>
    <w:rsid w:val="6A915B20"/>
    <w:rsid w:val="6AA83755"/>
    <w:rsid w:val="6AAA04A3"/>
    <w:rsid w:val="6AAC1FDD"/>
    <w:rsid w:val="6AAD0D61"/>
    <w:rsid w:val="6ABF5D7E"/>
    <w:rsid w:val="6AC01C71"/>
    <w:rsid w:val="6AC338B5"/>
    <w:rsid w:val="6AC505B4"/>
    <w:rsid w:val="6ACB27E0"/>
    <w:rsid w:val="6AEB27DC"/>
    <w:rsid w:val="6AF57477"/>
    <w:rsid w:val="6B072958"/>
    <w:rsid w:val="6B0970A5"/>
    <w:rsid w:val="6B0D31B4"/>
    <w:rsid w:val="6B0D740F"/>
    <w:rsid w:val="6B0E6561"/>
    <w:rsid w:val="6B1776C1"/>
    <w:rsid w:val="6B183FDA"/>
    <w:rsid w:val="6B283E94"/>
    <w:rsid w:val="6B2B32FA"/>
    <w:rsid w:val="6B2E1D6D"/>
    <w:rsid w:val="6B392F93"/>
    <w:rsid w:val="6B4207DF"/>
    <w:rsid w:val="6B430ACC"/>
    <w:rsid w:val="6B48064D"/>
    <w:rsid w:val="6B563B78"/>
    <w:rsid w:val="6B67033C"/>
    <w:rsid w:val="6B6B04A3"/>
    <w:rsid w:val="6B6D7359"/>
    <w:rsid w:val="6B7501B9"/>
    <w:rsid w:val="6B7E026B"/>
    <w:rsid w:val="6B8C7882"/>
    <w:rsid w:val="6B937365"/>
    <w:rsid w:val="6B95331E"/>
    <w:rsid w:val="6BA54074"/>
    <w:rsid w:val="6BA6039D"/>
    <w:rsid w:val="6BB47145"/>
    <w:rsid w:val="6BBB574B"/>
    <w:rsid w:val="6BC12748"/>
    <w:rsid w:val="6BC268A2"/>
    <w:rsid w:val="6BC42A82"/>
    <w:rsid w:val="6BC97952"/>
    <w:rsid w:val="6BCD01B1"/>
    <w:rsid w:val="6BD15DFC"/>
    <w:rsid w:val="6BEC4F7B"/>
    <w:rsid w:val="6BF758FE"/>
    <w:rsid w:val="6BFD79FF"/>
    <w:rsid w:val="6C043A9B"/>
    <w:rsid w:val="6C07004F"/>
    <w:rsid w:val="6C0E56EA"/>
    <w:rsid w:val="6C1108A2"/>
    <w:rsid w:val="6C1366EB"/>
    <w:rsid w:val="6C1E4722"/>
    <w:rsid w:val="6C1F1739"/>
    <w:rsid w:val="6C2037A5"/>
    <w:rsid w:val="6C282212"/>
    <w:rsid w:val="6C2A7F81"/>
    <w:rsid w:val="6C4540D8"/>
    <w:rsid w:val="6C4554D0"/>
    <w:rsid w:val="6C4B337A"/>
    <w:rsid w:val="6C4F1CDF"/>
    <w:rsid w:val="6C511060"/>
    <w:rsid w:val="6C5E1E3F"/>
    <w:rsid w:val="6C62652A"/>
    <w:rsid w:val="6C690A5B"/>
    <w:rsid w:val="6C6C75B0"/>
    <w:rsid w:val="6C6F6D21"/>
    <w:rsid w:val="6C7773A4"/>
    <w:rsid w:val="6C8E3531"/>
    <w:rsid w:val="6C8F682E"/>
    <w:rsid w:val="6C916E7A"/>
    <w:rsid w:val="6CA369BD"/>
    <w:rsid w:val="6CA767FE"/>
    <w:rsid w:val="6CA92D6D"/>
    <w:rsid w:val="6CBF1371"/>
    <w:rsid w:val="6CC02365"/>
    <w:rsid w:val="6CC15CC3"/>
    <w:rsid w:val="6CC30007"/>
    <w:rsid w:val="6CC51A8F"/>
    <w:rsid w:val="6CCF18D2"/>
    <w:rsid w:val="6CD04B4A"/>
    <w:rsid w:val="6CE224A9"/>
    <w:rsid w:val="6CE24404"/>
    <w:rsid w:val="6CE80688"/>
    <w:rsid w:val="6CE94C7B"/>
    <w:rsid w:val="6CEA3704"/>
    <w:rsid w:val="6CF87280"/>
    <w:rsid w:val="6CFD55EF"/>
    <w:rsid w:val="6D0471B7"/>
    <w:rsid w:val="6D0A6701"/>
    <w:rsid w:val="6D0D5442"/>
    <w:rsid w:val="6D156E90"/>
    <w:rsid w:val="6D18789A"/>
    <w:rsid w:val="6D1D5966"/>
    <w:rsid w:val="6D2476BD"/>
    <w:rsid w:val="6D2B77DD"/>
    <w:rsid w:val="6D416577"/>
    <w:rsid w:val="6D4421F3"/>
    <w:rsid w:val="6D551EC4"/>
    <w:rsid w:val="6D58029B"/>
    <w:rsid w:val="6D632E83"/>
    <w:rsid w:val="6D7D4964"/>
    <w:rsid w:val="6D952DE8"/>
    <w:rsid w:val="6DAF71F7"/>
    <w:rsid w:val="6DC53822"/>
    <w:rsid w:val="6DCD3EA1"/>
    <w:rsid w:val="6DCF56E9"/>
    <w:rsid w:val="6DD10648"/>
    <w:rsid w:val="6DD35EFA"/>
    <w:rsid w:val="6DD515C6"/>
    <w:rsid w:val="6DD65D1B"/>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A7B9A"/>
    <w:rsid w:val="6E606B0D"/>
    <w:rsid w:val="6E760A9C"/>
    <w:rsid w:val="6E787BC7"/>
    <w:rsid w:val="6E7C337E"/>
    <w:rsid w:val="6E85329E"/>
    <w:rsid w:val="6E8E37A3"/>
    <w:rsid w:val="6E9D1E53"/>
    <w:rsid w:val="6EB776F8"/>
    <w:rsid w:val="6EC7631D"/>
    <w:rsid w:val="6ECB21BD"/>
    <w:rsid w:val="6ED53E24"/>
    <w:rsid w:val="6EE04EB7"/>
    <w:rsid w:val="6EE26D9C"/>
    <w:rsid w:val="6EE33B71"/>
    <w:rsid w:val="6EEA0A26"/>
    <w:rsid w:val="6EEA0C1E"/>
    <w:rsid w:val="6EF50044"/>
    <w:rsid w:val="6EF72D1B"/>
    <w:rsid w:val="6F071BDD"/>
    <w:rsid w:val="6F0D2D39"/>
    <w:rsid w:val="6F103549"/>
    <w:rsid w:val="6F120BBA"/>
    <w:rsid w:val="6F1D1046"/>
    <w:rsid w:val="6F283936"/>
    <w:rsid w:val="6F2839BD"/>
    <w:rsid w:val="6F2A192E"/>
    <w:rsid w:val="6F2F00C9"/>
    <w:rsid w:val="6F37322B"/>
    <w:rsid w:val="6F37584D"/>
    <w:rsid w:val="6F3772E2"/>
    <w:rsid w:val="6F427B7D"/>
    <w:rsid w:val="6F45521B"/>
    <w:rsid w:val="6F4F3FF6"/>
    <w:rsid w:val="6F5F401E"/>
    <w:rsid w:val="6F610495"/>
    <w:rsid w:val="6F666144"/>
    <w:rsid w:val="6F691BD8"/>
    <w:rsid w:val="6F6E6F1B"/>
    <w:rsid w:val="6F782546"/>
    <w:rsid w:val="6F7A2878"/>
    <w:rsid w:val="6F7B2DDB"/>
    <w:rsid w:val="6F8E45D2"/>
    <w:rsid w:val="6F910E73"/>
    <w:rsid w:val="6F9D6454"/>
    <w:rsid w:val="6FA80267"/>
    <w:rsid w:val="6FAA0516"/>
    <w:rsid w:val="6FAA33D4"/>
    <w:rsid w:val="6FB10D75"/>
    <w:rsid w:val="6FBF0E7A"/>
    <w:rsid w:val="6FC0057D"/>
    <w:rsid w:val="6FC41DEF"/>
    <w:rsid w:val="6FC61D70"/>
    <w:rsid w:val="6FE201A5"/>
    <w:rsid w:val="6FE677C4"/>
    <w:rsid w:val="6FE71701"/>
    <w:rsid w:val="6FE75A19"/>
    <w:rsid w:val="6FF90640"/>
    <w:rsid w:val="6FFB02BF"/>
    <w:rsid w:val="6FFB2DF2"/>
    <w:rsid w:val="700D4EDF"/>
    <w:rsid w:val="701A33A7"/>
    <w:rsid w:val="702150F1"/>
    <w:rsid w:val="702D0D4E"/>
    <w:rsid w:val="702D5FF0"/>
    <w:rsid w:val="703740FE"/>
    <w:rsid w:val="703C5BFF"/>
    <w:rsid w:val="703F105D"/>
    <w:rsid w:val="70477D2F"/>
    <w:rsid w:val="704845F6"/>
    <w:rsid w:val="70491A7E"/>
    <w:rsid w:val="704A0D0D"/>
    <w:rsid w:val="704E23D7"/>
    <w:rsid w:val="706864A2"/>
    <w:rsid w:val="707671C1"/>
    <w:rsid w:val="70774341"/>
    <w:rsid w:val="707816D8"/>
    <w:rsid w:val="707A6422"/>
    <w:rsid w:val="70841631"/>
    <w:rsid w:val="70866D1E"/>
    <w:rsid w:val="708863EE"/>
    <w:rsid w:val="708D1F8A"/>
    <w:rsid w:val="708D6E23"/>
    <w:rsid w:val="7090229E"/>
    <w:rsid w:val="70904F07"/>
    <w:rsid w:val="70980797"/>
    <w:rsid w:val="709B6188"/>
    <w:rsid w:val="70A20606"/>
    <w:rsid w:val="70AF6B6D"/>
    <w:rsid w:val="70B36FA5"/>
    <w:rsid w:val="70BE78CA"/>
    <w:rsid w:val="70C37E9C"/>
    <w:rsid w:val="70C45688"/>
    <w:rsid w:val="70D45E43"/>
    <w:rsid w:val="70D7638F"/>
    <w:rsid w:val="70D96316"/>
    <w:rsid w:val="70DA6568"/>
    <w:rsid w:val="70DD2E34"/>
    <w:rsid w:val="70DE1FAD"/>
    <w:rsid w:val="70E21ABF"/>
    <w:rsid w:val="70E636F0"/>
    <w:rsid w:val="70F22B34"/>
    <w:rsid w:val="71067CCD"/>
    <w:rsid w:val="7110784E"/>
    <w:rsid w:val="71253FBA"/>
    <w:rsid w:val="713A4DEF"/>
    <w:rsid w:val="713A6470"/>
    <w:rsid w:val="713F01DB"/>
    <w:rsid w:val="714472D9"/>
    <w:rsid w:val="71553C77"/>
    <w:rsid w:val="7155673F"/>
    <w:rsid w:val="7161653D"/>
    <w:rsid w:val="71652E31"/>
    <w:rsid w:val="716972DE"/>
    <w:rsid w:val="716B5019"/>
    <w:rsid w:val="71715EC0"/>
    <w:rsid w:val="71721BB8"/>
    <w:rsid w:val="71792B6D"/>
    <w:rsid w:val="7182595A"/>
    <w:rsid w:val="7192581E"/>
    <w:rsid w:val="719453E4"/>
    <w:rsid w:val="719D66C8"/>
    <w:rsid w:val="71AB51EE"/>
    <w:rsid w:val="71BF2378"/>
    <w:rsid w:val="71E100E9"/>
    <w:rsid w:val="71EA2FC4"/>
    <w:rsid w:val="71EA5E90"/>
    <w:rsid w:val="71EE2B55"/>
    <w:rsid w:val="71F72A38"/>
    <w:rsid w:val="720040E9"/>
    <w:rsid w:val="72074550"/>
    <w:rsid w:val="72094611"/>
    <w:rsid w:val="720B6DA8"/>
    <w:rsid w:val="720D7723"/>
    <w:rsid w:val="721434E3"/>
    <w:rsid w:val="721F3D0A"/>
    <w:rsid w:val="722E26AC"/>
    <w:rsid w:val="722E59CC"/>
    <w:rsid w:val="72310BD0"/>
    <w:rsid w:val="723C3EA9"/>
    <w:rsid w:val="724908EA"/>
    <w:rsid w:val="72516C3F"/>
    <w:rsid w:val="7258546A"/>
    <w:rsid w:val="726151CF"/>
    <w:rsid w:val="726169B9"/>
    <w:rsid w:val="726175A4"/>
    <w:rsid w:val="72622446"/>
    <w:rsid w:val="7264039B"/>
    <w:rsid w:val="72750113"/>
    <w:rsid w:val="72781644"/>
    <w:rsid w:val="727B4142"/>
    <w:rsid w:val="727D6910"/>
    <w:rsid w:val="72AC0B5F"/>
    <w:rsid w:val="72B148D9"/>
    <w:rsid w:val="72B20BCC"/>
    <w:rsid w:val="72B66B9A"/>
    <w:rsid w:val="72B752C0"/>
    <w:rsid w:val="72BE2002"/>
    <w:rsid w:val="72BF286C"/>
    <w:rsid w:val="72C60382"/>
    <w:rsid w:val="72D1181A"/>
    <w:rsid w:val="72D2463B"/>
    <w:rsid w:val="72D570A9"/>
    <w:rsid w:val="72DA3B2B"/>
    <w:rsid w:val="72DA420C"/>
    <w:rsid w:val="72E05576"/>
    <w:rsid w:val="72E866BD"/>
    <w:rsid w:val="72F23C4A"/>
    <w:rsid w:val="72F54159"/>
    <w:rsid w:val="731A376F"/>
    <w:rsid w:val="731B31BB"/>
    <w:rsid w:val="732615F8"/>
    <w:rsid w:val="733543EC"/>
    <w:rsid w:val="733E00C9"/>
    <w:rsid w:val="73473244"/>
    <w:rsid w:val="734E7131"/>
    <w:rsid w:val="735B113E"/>
    <w:rsid w:val="735E659F"/>
    <w:rsid w:val="73634738"/>
    <w:rsid w:val="7377689B"/>
    <w:rsid w:val="737C77B8"/>
    <w:rsid w:val="738E395B"/>
    <w:rsid w:val="739116AF"/>
    <w:rsid w:val="73934C4E"/>
    <w:rsid w:val="7399255B"/>
    <w:rsid w:val="73994E29"/>
    <w:rsid w:val="73AD40C6"/>
    <w:rsid w:val="73B637B0"/>
    <w:rsid w:val="73B96DB8"/>
    <w:rsid w:val="73BC0518"/>
    <w:rsid w:val="73CC68F5"/>
    <w:rsid w:val="73D23C14"/>
    <w:rsid w:val="73D8171E"/>
    <w:rsid w:val="73DD60FF"/>
    <w:rsid w:val="73ED2269"/>
    <w:rsid w:val="73F454F4"/>
    <w:rsid w:val="74034EC7"/>
    <w:rsid w:val="74101A40"/>
    <w:rsid w:val="74137935"/>
    <w:rsid w:val="741E74B0"/>
    <w:rsid w:val="74200C4C"/>
    <w:rsid w:val="74223B96"/>
    <w:rsid w:val="742B67A6"/>
    <w:rsid w:val="74382880"/>
    <w:rsid w:val="74461949"/>
    <w:rsid w:val="74555490"/>
    <w:rsid w:val="74666B79"/>
    <w:rsid w:val="746E4951"/>
    <w:rsid w:val="74732C8F"/>
    <w:rsid w:val="747E7CD4"/>
    <w:rsid w:val="74883576"/>
    <w:rsid w:val="748A0171"/>
    <w:rsid w:val="748C0435"/>
    <w:rsid w:val="748F47A2"/>
    <w:rsid w:val="74954C44"/>
    <w:rsid w:val="749E349B"/>
    <w:rsid w:val="74A62292"/>
    <w:rsid w:val="74B86A66"/>
    <w:rsid w:val="74C471C1"/>
    <w:rsid w:val="74C4775A"/>
    <w:rsid w:val="74C95CDA"/>
    <w:rsid w:val="74D80A7B"/>
    <w:rsid w:val="74E02B9E"/>
    <w:rsid w:val="74E54FB3"/>
    <w:rsid w:val="74E619E4"/>
    <w:rsid w:val="74EC4422"/>
    <w:rsid w:val="74F64CF5"/>
    <w:rsid w:val="74FF0307"/>
    <w:rsid w:val="750223BA"/>
    <w:rsid w:val="750F5823"/>
    <w:rsid w:val="75105C9A"/>
    <w:rsid w:val="7517521C"/>
    <w:rsid w:val="75181D72"/>
    <w:rsid w:val="75186062"/>
    <w:rsid w:val="751D79C1"/>
    <w:rsid w:val="751F3D60"/>
    <w:rsid w:val="752503A2"/>
    <w:rsid w:val="752B0E49"/>
    <w:rsid w:val="753211D3"/>
    <w:rsid w:val="754055E2"/>
    <w:rsid w:val="754B2D5D"/>
    <w:rsid w:val="754F013D"/>
    <w:rsid w:val="756155B0"/>
    <w:rsid w:val="756201EF"/>
    <w:rsid w:val="756A08C2"/>
    <w:rsid w:val="75757939"/>
    <w:rsid w:val="75874BA8"/>
    <w:rsid w:val="758B6BAE"/>
    <w:rsid w:val="758F6F84"/>
    <w:rsid w:val="75952C12"/>
    <w:rsid w:val="759B6767"/>
    <w:rsid w:val="75A24A72"/>
    <w:rsid w:val="75A87CC1"/>
    <w:rsid w:val="75AE43CA"/>
    <w:rsid w:val="75BF16E5"/>
    <w:rsid w:val="75C83329"/>
    <w:rsid w:val="75D36549"/>
    <w:rsid w:val="75D9441C"/>
    <w:rsid w:val="75E72869"/>
    <w:rsid w:val="75EF05AB"/>
    <w:rsid w:val="75F640F4"/>
    <w:rsid w:val="75F90B3C"/>
    <w:rsid w:val="76021ACA"/>
    <w:rsid w:val="76090CA7"/>
    <w:rsid w:val="761C51E9"/>
    <w:rsid w:val="762E25A8"/>
    <w:rsid w:val="763A574B"/>
    <w:rsid w:val="7645107B"/>
    <w:rsid w:val="7658118F"/>
    <w:rsid w:val="765834E9"/>
    <w:rsid w:val="766948B0"/>
    <w:rsid w:val="766C44F4"/>
    <w:rsid w:val="766D53BF"/>
    <w:rsid w:val="767107D4"/>
    <w:rsid w:val="76815181"/>
    <w:rsid w:val="768745CD"/>
    <w:rsid w:val="768B155B"/>
    <w:rsid w:val="768B4024"/>
    <w:rsid w:val="769103B9"/>
    <w:rsid w:val="76946515"/>
    <w:rsid w:val="76AC1901"/>
    <w:rsid w:val="76AE39D3"/>
    <w:rsid w:val="76B02433"/>
    <w:rsid w:val="76B10DBB"/>
    <w:rsid w:val="76B54F8B"/>
    <w:rsid w:val="76B74D77"/>
    <w:rsid w:val="76B75F2E"/>
    <w:rsid w:val="76BA6C94"/>
    <w:rsid w:val="76BB680C"/>
    <w:rsid w:val="76C12D08"/>
    <w:rsid w:val="76CA15A3"/>
    <w:rsid w:val="76CE6A9D"/>
    <w:rsid w:val="76D109B8"/>
    <w:rsid w:val="76D66014"/>
    <w:rsid w:val="76DF0913"/>
    <w:rsid w:val="76F36B33"/>
    <w:rsid w:val="76FD0DEB"/>
    <w:rsid w:val="77023C18"/>
    <w:rsid w:val="770D1C43"/>
    <w:rsid w:val="770F1379"/>
    <w:rsid w:val="77251A26"/>
    <w:rsid w:val="772F55B2"/>
    <w:rsid w:val="7733466E"/>
    <w:rsid w:val="77462083"/>
    <w:rsid w:val="77465974"/>
    <w:rsid w:val="774D3C2D"/>
    <w:rsid w:val="77505770"/>
    <w:rsid w:val="775116E2"/>
    <w:rsid w:val="7759379D"/>
    <w:rsid w:val="77656769"/>
    <w:rsid w:val="77686C7A"/>
    <w:rsid w:val="77753257"/>
    <w:rsid w:val="77766C2B"/>
    <w:rsid w:val="77891E89"/>
    <w:rsid w:val="779338FF"/>
    <w:rsid w:val="779D3992"/>
    <w:rsid w:val="77A16874"/>
    <w:rsid w:val="77A67B1B"/>
    <w:rsid w:val="77B135B8"/>
    <w:rsid w:val="77B51B62"/>
    <w:rsid w:val="77C22CB8"/>
    <w:rsid w:val="77C31373"/>
    <w:rsid w:val="77C93714"/>
    <w:rsid w:val="77CB403E"/>
    <w:rsid w:val="77D2224F"/>
    <w:rsid w:val="77DB7463"/>
    <w:rsid w:val="77EF6D1F"/>
    <w:rsid w:val="77F07FBB"/>
    <w:rsid w:val="78005007"/>
    <w:rsid w:val="780A7418"/>
    <w:rsid w:val="780C1D16"/>
    <w:rsid w:val="7812353B"/>
    <w:rsid w:val="7816613F"/>
    <w:rsid w:val="78186E7A"/>
    <w:rsid w:val="78292FBD"/>
    <w:rsid w:val="78344732"/>
    <w:rsid w:val="783946B7"/>
    <w:rsid w:val="78494B3D"/>
    <w:rsid w:val="78497ED9"/>
    <w:rsid w:val="784A745A"/>
    <w:rsid w:val="784F6908"/>
    <w:rsid w:val="784F6C52"/>
    <w:rsid w:val="78541188"/>
    <w:rsid w:val="78590D28"/>
    <w:rsid w:val="785955BC"/>
    <w:rsid w:val="78640097"/>
    <w:rsid w:val="78657D62"/>
    <w:rsid w:val="78663B87"/>
    <w:rsid w:val="786F0B95"/>
    <w:rsid w:val="78724FE4"/>
    <w:rsid w:val="789842D6"/>
    <w:rsid w:val="789C1CE6"/>
    <w:rsid w:val="78B23C5C"/>
    <w:rsid w:val="78B75C8E"/>
    <w:rsid w:val="78C30ECB"/>
    <w:rsid w:val="78D02E20"/>
    <w:rsid w:val="78D039D1"/>
    <w:rsid w:val="78D468FC"/>
    <w:rsid w:val="78DD418C"/>
    <w:rsid w:val="78E20B63"/>
    <w:rsid w:val="78E2205D"/>
    <w:rsid w:val="78E7779C"/>
    <w:rsid w:val="78F22EF3"/>
    <w:rsid w:val="78FA00F9"/>
    <w:rsid w:val="78FB0887"/>
    <w:rsid w:val="78FC38E3"/>
    <w:rsid w:val="790C1C25"/>
    <w:rsid w:val="79107D5A"/>
    <w:rsid w:val="791D092D"/>
    <w:rsid w:val="79207F11"/>
    <w:rsid w:val="792C7B78"/>
    <w:rsid w:val="79301FB2"/>
    <w:rsid w:val="794A705D"/>
    <w:rsid w:val="795D061C"/>
    <w:rsid w:val="79650117"/>
    <w:rsid w:val="797031C3"/>
    <w:rsid w:val="79710BD9"/>
    <w:rsid w:val="7974330B"/>
    <w:rsid w:val="7978297F"/>
    <w:rsid w:val="79793994"/>
    <w:rsid w:val="797B4475"/>
    <w:rsid w:val="79825A8B"/>
    <w:rsid w:val="79B7133F"/>
    <w:rsid w:val="79B963A4"/>
    <w:rsid w:val="79BA2F94"/>
    <w:rsid w:val="79BC264E"/>
    <w:rsid w:val="79C76293"/>
    <w:rsid w:val="79E57E94"/>
    <w:rsid w:val="79E6205E"/>
    <w:rsid w:val="79E67EB2"/>
    <w:rsid w:val="79E72FBE"/>
    <w:rsid w:val="79E7444C"/>
    <w:rsid w:val="79EE7B9C"/>
    <w:rsid w:val="7A061B69"/>
    <w:rsid w:val="7A0C2A78"/>
    <w:rsid w:val="7A0D0808"/>
    <w:rsid w:val="7A3A77F5"/>
    <w:rsid w:val="7A425F97"/>
    <w:rsid w:val="7A4821BB"/>
    <w:rsid w:val="7A486959"/>
    <w:rsid w:val="7A49720A"/>
    <w:rsid w:val="7A4C4464"/>
    <w:rsid w:val="7A4C6804"/>
    <w:rsid w:val="7A4E7DA7"/>
    <w:rsid w:val="7A4F7D90"/>
    <w:rsid w:val="7A500206"/>
    <w:rsid w:val="7A534E94"/>
    <w:rsid w:val="7A5619B9"/>
    <w:rsid w:val="7A5C28B4"/>
    <w:rsid w:val="7A5C303F"/>
    <w:rsid w:val="7A6C21C2"/>
    <w:rsid w:val="7A767354"/>
    <w:rsid w:val="7A7A523B"/>
    <w:rsid w:val="7A8242B4"/>
    <w:rsid w:val="7A845059"/>
    <w:rsid w:val="7A8C4073"/>
    <w:rsid w:val="7A9D6337"/>
    <w:rsid w:val="7AA00320"/>
    <w:rsid w:val="7AA33F9C"/>
    <w:rsid w:val="7AA34E89"/>
    <w:rsid w:val="7AA444FF"/>
    <w:rsid w:val="7AA924EB"/>
    <w:rsid w:val="7AAE73F4"/>
    <w:rsid w:val="7AB631A8"/>
    <w:rsid w:val="7ABA2E49"/>
    <w:rsid w:val="7ABF63A4"/>
    <w:rsid w:val="7AC717FB"/>
    <w:rsid w:val="7ACC0DB4"/>
    <w:rsid w:val="7ACE51E2"/>
    <w:rsid w:val="7AD629C1"/>
    <w:rsid w:val="7AE1254D"/>
    <w:rsid w:val="7AE34F25"/>
    <w:rsid w:val="7AE5007E"/>
    <w:rsid w:val="7AE7721B"/>
    <w:rsid w:val="7AE97C46"/>
    <w:rsid w:val="7AEF0DE2"/>
    <w:rsid w:val="7AF33D1E"/>
    <w:rsid w:val="7AF924FE"/>
    <w:rsid w:val="7AFB3540"/>
    <w:rsid w:val="7AFD6F8A"/>
    <w:rsid w:val="7B1F2D91"/>
    <w:rsid w:val="7B2727AF"/>
    <w:rsid w:val="7B313BEA"/>
    <w:rsid w:val="7B340070"/>
    <w:rsid w:val="7B3771C6"/>
    <w:rsid w:val="7B446093"/>
    <w:rsid w:val="7B5114E6"/>
    <w:rsid w:val="7B6F146B"/>
    <w:rsid w:val="7B767D25"/>
    <w:rsid w:val="7B7A0D42"/>
    <w:rsid w:val="7B8E7955"/>
    <w:rsid w:val="7B907392"/>
    <w:rsid w:val="7B96461A"/>
    <w:rsid w:val="7B996B4F"/>
    <w:rsid w:val="7BA05FB0"/>
    <w:rsid w:val="7BB87BCC"/>
    <w:rsid w:val="7BBE280A"/>
    <w:rsid w:val="7BC03276"/>
    <w:rsid w:val="7BC12229"/>
    <w:rsid w:val="7BCB652D"/>
    <w:rsid w:val="7BCE3168"/>
    <w:rsid w:val="7BF12C1D"/>
    <w:rsid w:val="7BF16B67"/>
    <w:rsid w:val="7BF417C7"/>
    <w:rsid w:val="7C0E462A"/>
    <w:rsid w:val="7C0F60D8"/>
    <w:rsid w:val="7C194153"/>
    <w:rsid w:val="7C1C5BF5"/>
    <w:rsid w:val="7C266365"/>
    <w:rsid w:val="7C2B192C"/>
    <w:rsid w:val="7C2F62FC"/>
    <w:rsid w:val="7C451D10"/>
    <w:rsid w:val="7C485D6C"/>
    <w:rsid w:val="7C4B3831"/>
    <w:rsid w:val="7C504CDB"/>
    <w:rsid w:val="7C5846F0"/>
    <w:rsid w:val="7C6B4DF6"/>
    <w:rsid w:val="7C6D370B"/>
    <w:rsid w:val="7C6E0DB4"/>
    <w:rsid w:val="7C745B15"/>
    <w:rsid w:val="7C7F1521"/>
    <w:rsid w:val="7C7F3842"/>
    <w:rsid w:val="7C956A9F"/>
    <w:rsid w:val="7C9952E7"/>
    <w:rsid w:val="7C9C0351"/>
    <w:rsid w:val="7CA02A08"/>
    <w:rsid w:val="7CAF279A"/>
    <w:rsid w:val="7CB62F86"/>
    <w:rsid w:val="7CDC2354"/>
    <w:rsid w:val="7CE84DF9"/>
    <w:rsid w:val="7CF27393"/>
    <w:rsid w:val="7CFC12D6"/>
    <w:rsid w:val="7CFF3642"/>
    <w:rsid w:val="7D03372B"/>
    <w:rsid w:val="7D055FEF"/>
    <w:rsid w:val="7D0B2DB7"/>
    <w:rsid w:val="7D0E3BE8"/>
    <w:rsid w:val="7D177444"/>
    <w:rsid w:val="7D1E2AB8"/>
    <w:rsid w:val="7D225ED9"/>
    <w:rsid w:val="7D3C199D"/>
    <w:rsid w:val="7D3D0619"/>
    <w:rsid w:val="7D493B8F"/>
    <w:rsid w:val="7D5407DB"/>
    <w:rsid w:val="7D5D0A96"/>
    <w:rsid w:val="7D684F15"/>
    <w:rsid w:val="7D6A7948"/>
    <w:rsid w:val="7D7C621E"/>
    <w:rsid w:val="7D7D2B7E"/>
    <w:rsid w:val="7D902263"/>
    <w:rsid w:val="7D971697"/>
    <w:rsid w:val="7DA04CA2"/>
    <w:rsid w:val="7DA66D82"/>
    <w:rsid w:val="7DB64F6F"/>
    <w:rsid w:val="7DCD7AF7"/>
    <w:rsid w:val="7DDB4B77"/>
    <w:rsid w:val="7DE844D5"/>
    <w:rsid w:val="7DF30062"/>
    <w:rsid w:val="7DF37C1A"/>
    <w:rsid w:val="7DF801A0"/>
    <w:rsid w:val="7DF87DEB"/>
    <w:rsid w:val="7E0A2072"/>
    <w:rsid w:val="7E332130"/>
    <w:rsid w:val="7E3E2869"/>
    <w:rsid w:val="7E3E3BAD"/>
    <w:rsid w:val="7E511360"/>
    <w:rsid w:val="7E5745A4"/>
    <w:rsid w:val="7E6347AB"/>
    <w:rsid w:val="7E705D8F"/>
    <w:rsid w:val="7E7D7FCC"/>
    <w:rsid w:val="7E903B5A"/>
    <w:rsid w:val="7E947D16"/>
    <w:rsid w:val="7E952C9D"/>
    <w:rsid w:val="7E9D7F57"/>
    <w:rsid w:val="7EA77CDE"/>
    <w:rsid w:val="7EA84C5B"/>
    <w:rsid w:val="7EA96520"/>
    <w:rsid w:val="7EB3726D"/>
    <w:rsid w:val="7ED745E5"/>
    <w:rsid w:val="7EDB32EB"/>
    <w:rsid w:val="7EE41414"/>
    <w:rsid w:val="7EE81D1B"/>
    <w:rsid w:val="7EE96860"/>
    <w:rsid w:val="7EED08AF"/>
    <w:rsid w:val="7EED42FB"/>
    <w:rsid w:val="7EFB691B"/>
    <w:rsid w:val="7F021AEB"/>
    <w:rsid w:val="7F030FD6"/>
    <w:rsid w:val="7F0B4C78"/>
    <w:rsid w:val="7F107F5C"/>
    <w:rsid w:val="7F17354E"/>
    <w:rsid w:val="7F2421F8"/>
    <w:rsid w:val="7F460E73"/>
    <w:rsid w:val="7F50210C"/>
    <w:rsid w:val="7F562765"/>
    <w:rsid w:val="7F58238E"/>
    <w:rsid w:val="7F667424"/>
    <w:rsid w:val="7F6A0670"/>
    <w:rsid w:val="7F6B2488"/>
    <w:rsid w:val="7F6B78DD"/>
    <w:rsid w:val="7F745B07"/>
    <w:rsid w:val="7F8E0615"/>
    <w:rsid w:val="7F903E22"/>
    <w:rsid w:val="7F9E5CE6"/>
    <w:rsid w:val="7F9F1B90"/>
    <w:rsid w:val="7F9F36FE"/>
    <w:rsid w:val="7FA2035C"/>
    <w:rsid w:val="7FBC0707"/>
    <w:rsid w:val="7FC12A33"/>
    <w:rsid w:val="7FC529D7"/>
    <w:rsid w:val="7FC54723"/>
    <w:rsid w:val="7FDA4976"/>
    <w:rsid w:val="7FE75EAD"/>
    <w:rsid w:val="7FF57855"/>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3"/>
    <w:qFormat/>
    <w:uiPriority w:val="0"/>
    <w:pPr>
      <w:keepNext/>
      <w:keepLines/>
      <w:numPr>
        <w:ilvl w:val="0"/>
        <w:numId w:val="1"/>
      </w:numPr>
      <w:pBdr>
        <w:top w:val="single" w:color="auto" w:sz="12" w:space="3"/>
      </w:pBdr>
      <w:spacing w:before="240" w:after="180"/>
      <w:outlineLvl w:val="0"/>
    </w:pPr>
    <w:rPr>
      <w:rFonts w:ascii="Arial" w:hAnsi="Arial" w:eastAsia="Malgun Gothic" w:cs="Times New Roman"/>
      <w:sz w:val="32"/>
      <w:lang w:val="en-GB" w:eastAsia="en-US" w:bidi="ar-SA"/>
    </w:rPr>
  </w:style>
  <w:style w:type="paragraph" w:styleId="3">
    <w:name w:val="heading 2"/>
    <w:basedOn w:val="2"/>
    <w:next w:val="1"/>
    <w:link w:val="162"/>
    <w:qFormat/>
    <w:uiPriority w:val="0"/>
    <w:pPr>
      <w:numPr>
        <w:ilvl w:val="1"/>
        <w:numId w:val="1"/>
      </w:numPr>
      <w:pBdr>
        <w:top w:val="none" w:color="auto" w:sz="0" w:space="0"/>
      </w:pBdr>
      <w:spacing w:before="180"/>
      <w:ind w:left="734" w:leftChars="100" w:right="100" w:rightChars="100"/>
      <w:outlineLvl w:val="1"/>
    </w:pPr>
    <w:rPr>
      <w:sz w:val="28"/>
    </w:rPr>
  </w:style>
  <w:style w:type="paragraph" w:styleId="4">
    <w:name w:val="heading 3"/>
    <w:basedOn w:val="3"/>
    <w:next w:val="1"/>
    <w:link w:val="154"/>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34"/>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2"/>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5"/>
    <w:qFormat/>
    <w:uiPriority w:val="99"/>
    <w:pPr>
      <w:widowControl w:val="0"/>
    </w:pPr>
    <w:rPr>
      <w:rFonts w:ascii="Arial" w:hAnsi="Arial" w:eastAsia="Malgun Gothic"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paragraph" w:customStyle="1" w:styleId="54">
    <w:name w:val="EW"/>
    <w:basedOn w:val="55"/>
    <w:qFormat/>
    <w:uiPriority w:val="0"/>
    <w:pPr>
      <w:spacing w:after="0"/>
    </w:pPr>
  </w:style>
  <w:style w:type="paragraph" w:customStyle="1" w:styleId="55">
    <w:name w:val="EX"/>
    <w:basedOn w:val="1"/>
    <w:qFormat/>
    <w:uiPriority w:val="0"/>
    <w:pPr>
      <w:keepLines/>
      <w:ind w:left="1702" w:hanging="1418"/>
    </w:pPr>
  </w:style>
  <w:style w:type="paragraph" w:customStyle="1" w:styleId="56">
    <w:name w:val="B5"/>
    <w:basedOn w:val="35"/>
    <w:qFormat/>
    <w:uiPriority w:val="0"/>
  </w:style>
  <w:style w:type="paragraph" w:customStyle="1" w:styleId="57">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8">
    <w:name w:val="TF"/>
    <w:basedOn w:val="59"/>
    <w:link w:val="129"/>
    <w:qFormat/>
    <w:uiPriority w:val="0"/>
    <w:pPr>
      <w:keepNext w:val="0"/>
      <w:spacing w:before="0" w:after="240"/>
    </w:pPr>
  </w:style>
  <w:style w:type="paragraph" w:customStyle="1" w:styleId="59">
    <w:name w:val="TH"/>
    <w:basedOn w:val="1"/>
    <w:link w:val="133"/>
    <w:qFormat/>
    <w:uiPriority w:val="0"/>
    <w:pPr>
      <w:keepNext/>
      <w:keepLines/>
      <w:spacing w:before="60"/>
      <w:jc w:val="center"/>
    </w:pPr>
    <w:rPr>
      <w:rFonts w:ascii="Arial" w:hAnsi="Arial"/>
      <w:b/>
    </w:rPr>
  </w:style>
  <w:style w:type="paragraph" w:customStyle="1" w:styleId="60">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1">
    <w:name w:val="TAC"/>
    <w:basedOn w:val="62"/>
    <w:link w:val="148"/>
    <w:qFormat/>
    <w:uiPriority w:val="0"/>
    <w:pPr>
      <w:jc w:val="center"/>
    </w:pPr>
  </w:style>
  <w:style w:type="paragraph" w:customStyle="1" w:styleId="62">
    <w:name w:val="TAL"/>
    <w:basedOn w:val="1"/>
    <w:link w:val="149"/>
    <w:qFormat/>
    <w:uiPriority w:val="0"/>
    <w:pPr>
      <w:keepNext/>
      <w:keepLines/>
      <w:spacing w:after="0"/>
    </w:pPr>
    <w:rPr>
      <w:rFonts w:ascii="Arial" w:hAnsi="Arial"/>
      <w:sz w:val="18"/>
    </w:rPr>
  </w:style>
  <w:style w:type="paragraph" w:customStyle="1" w:styleId="63">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4">
    <w:name w:val="编号2"/>
    <w:basedOn w:val="1"/>
    <w:qFormat/>
    <w:uiPriority w:val="0"/>
    <w:pPr>
      <w:numPr>
        <w:ilvl w:val="0"/>
        <w:numId w:val="4"/>
      </w:numPr>
      <w:tabs>
        <w:tab w:val="left" w:pos="704"/>
        <w:tab w:val="clear" w:pos="840"/>
      </w:tabs>
      <w:ind w:left="704" w:hanging="420"/>
    </w:pPr>
    <w:rPr>
      <w:lang w:eastAsia="zh-CN"/>
    </w:rPr>
  </w:style>
  <w:style w:type="paragraph" w:customStyle="1" w:styleId="65">
    <w:name w:val="Patent Numbering"/>
    <w:basedOn w:val="1"/>
    <w:qFormat/>
    <w:uiPriority w:val="0"/>
    <w:pPr>
      <w:numPr>
        <w:ilvl w:val="0"/>
        <w:numId w:val="5"/>
      </w:numPr>
      <w:spacing w:before="120" w:after="120" w:line="360" w:lineRule="auto"/>
      <w:jc w:val="both"/>
    </w:pPr>
    <w:rPr>
      <w:rFonts w:eastAsia="宋体"/>
      <w:sz w:val="24"/>
      <w:lang w:val="en-US"/>
    </w:rPr>
  </w:style>
  <w:style w:type="paragraph" w:customStyle="1" w:styleId="66">
    <w:name w:val="Observation"/>
    <w:basedOn w:val="67"/>
    <w:qFormat/>
    <w:uiPriority w:val="0"/>
    <w:pPr>
      <w:numPr>
        <w:ilvl w:val="0"/>
        <w:numId w:val="6"/>
      </w:numPr>
      <w:tabs>
        <w:tab w:val="left" w:pos="1304"/>
        <w:tab w:val="left" w:pos="1701"/>
      </w:tabs>
      <w:ind w:left="1701" w:hanging="1701"/>
    </w:pPr>
  </w:style>
  <w:style w:type="paragraph" w:customStyle="1" w:styleId="67">
    <w:name w:val="Proposal"/>
    <w:basedOn w:val="29"/>
    <w:next w:val="1"/>
    <w:qFormat/>
    <w:uiPriority w:val="0"/>
    <w:pPr>
      <w:numPr>
        <w:ilvl w:val="0"/>
        <w:numId w:val="7"/>
      </w:numPr>
      <w:tabs>
        <w:tab w:val="left" w:pos="1701"/>
      </w:tabs>
    </w:pPr>
    <w:rPr>
      <w:b/>
      <w:bCs/>
    </w:rPr>
  </w:style>
  <w:style w:type="paragraph" w:customStyle="1" w:styleId="68">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tdoc-header"/>
    <w:qFormat/>
    <w:uiPriority w:val="0"/>
    <w:rPr>
      <w:rFonts w:ascii="Arial" w:hAnsi="Arial" w:eastAsia="Malgun Gothic" w:cs="Times New Roman"/>
      <w:sz w:val="24"/>
      <w:lang w:val="en-GB" w:eastAsia="en-US" w:bidi="ar-SA"/>
    </w:rPr>
  </w:style>
  <w:style w:type="paragraph" w:customStyle="1" w:styleId="70">
    <w:name w:val="TAL + Left:  1 cm"/>
    <w:basedOn w:val="62"/>
    <w:qFormat/>
    <w:uiPriority w:val="0"/>
    <w:pPr>
      <w:overflowPunct w:val="0"/>
      <w:autoSpaceDE w:val="0"/>
      <w:autoSpaceDN w:val="0"/>
      <w:adjustRightInd w:val="0"/>
      <w:ind w:left="567"/>
      <w:textAlignment w:val="baseline"/>
    </w:pPr>
    <w:rPr>
      <w:lang w:eastAsia="en-GB"/>
    </w:rPr>
  </w:style>
  <w:style w:type="paragraph" w:customStyle="1" w:styleId="71">
    <w:name w:val="Doc-title"/>
    <w:basedOn w:val="1"/>
    <w:next w:val="72"/>
    <w:qFormat/>
    <w:uiPriority w:val="0"/>
    <w:pPr>
      <w:spacing w:before="60"/>
      <w:ind w:left="1259" w:hanging="1259"/>
    </w:pPr>
  </w:style>
  <w:style w:type="paragraph" w:customStyle="1" w:styleId="72">
    <w:name w:val="Doc-text2"/>
    <w:basedOn w:val="1"/>
    <w:link w:val="138"/>
    <w:qFormat/>
    <w:uiPriority w:val="0"/>
    <w:pPr>
      <w:tabs>
        <w:tab w:val="left" w:pos="1622"/>
      </w:tabs>
      <w:spacing w:after="0"/>
      <w:ind w:left="1622" w:hanging="363"/>
    </w:pPr>
    <w:rPr>
      <w:rFonts w:ascii="Arial" w:hAnsi="Arial" w:eastAsia="MS Mincho"/>
      <w:szCs w:val="24"/>
      <w:lang w:eastAsia="en-GB"/>
    </w:rPr>
  </w:style>
  <w:style w:type="paragraph" w:customStyle="1" w:styleId="73">
    <w:name w:val="标题4"/>
    <w:basedOn w:val="1"/>
    <w:qFormat/>
    <w:uiPriority w:val="0"/>
    <w:pPr>
      <w:numPr>
        <w:ilvl w:val="0"/>
        <w:numId w:val="9"/>
      </w:numPr>
    </w:pPr>
  </w:style>
  <w:style w:type="paragraph" w:customStyle="1" w:styleId="74">
    <w:name w:val="B7"/>
    <w:basedOn w:val="75"/>
    <w:qFormat/>
    <w:uiPriority w:val="0"/>
    <w:pPr>
      <w:ind w:left="2269"/>
    </w:pPr>
  </w:style>
  <w:style w:type="paragraph" w:customStyle="1" w:styleId="75">
    <w:name w:val="B6"/>
    <w:basedOn w:val="56"/>
    <w:qFormat/>
    <w:uiPriority w:val="0"/>
    <w:pPr>
      <w:overflowPunct w:val="0"/>
      <w:autoSpaceDE w:val="0"/>
      <w:autoSpaceDN w:val="0"/>
      <w:adjustRightInd w:val="0"/>
      <w:ind w:left="1985"/>
      <w:textAlignment w:val="baseline"/>
    </w:pPr>
    <w:rPr>
      <w:rFonts w:eastAsia="MS Mincho"/>
      <w:lang w:val="en-GB" w:eastAsia="ja-JP"/>
    </w:rPr>
  </w:style>
  <w:style w:type="paragraph" w:customStyle="1" w:styleId="76">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7">
    <w:name w:val="图表标题"/>
    <w:basedOn w:val="1"/>
    <w:next w:val="1"/>
    <w:qFormat/>
    <w:uiPriority w:val="0"/>
    <w:pPr>
      <w:spacing w:before="60" w:after="60"/>
      <w:jc w:val="center"/>
    </w:pPr>
    <w:rPr>
      <w:rFonts w:ascii="Arial" w:hAnsi="Arial" w:eastAsia="Batang" w:cs="宋体"/>
    </w:rPr>
  </w:style>
  <w:style w:type="paragraph" w:customStyle="1" w:styleId="78">
    <w:name w:val="TAH"/>
    <w:basedOn w:val="61"/>
    <w:link w:val="145"/>
    <w:qFormat/>
    <w:uiPriority w:val="0"/>
    <w:rPr>
      <w:b/>
    </w:rPr>
  </w:style>
  <w:style w:type="paragraph" w:customStyle="1" w:styleId="79">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0">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1">
    <w:name w:val="_Style 78"/>
    <w:semiHidden/>
    <w:qFormat/>
    <w:uiPriority w:val="99"/>
    <w:rPr>
      <w:rFonts w:ascii="Times New Roman" w:hAnsi="Times New Roman" w:eastAsia="宋体" w:cs="Times New Roman"/>
      <w:lang w:val="en-GB" w:eastAsia="en-US" w:bidi="ar-SA"/>
    </w:rPr>
  </w:style>
  <w:style w:type="paragraph" w:customStyle="1" w:styleId="82">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3">
    <w:name w:val="FP"/>
    <w:basedOn w:val="1"/>
    <w:qFormat/>
    <w:uiPriority w:val="0"/>
    <w:pPr>
      <w:spacing w:after="0"/>
    </w:pPr>
  </w:style>
  <w:style w:type="paragraph" w:customStyle="1" w:styleId="84">
    <w:name w:val="NF"/>
    <w:basedOn w:val="85"/>
    <w:qFormat/>
    <w:uiPriority w:val="0"/>
    <w:pPr>
      <w:keepNext/>
      <w:spacing w:after="0"/>
    </w:pPr>
    <w:rPr>
      <w:rFonts w:ascii="Arial" w:hAnsi="Arial"/>
      <w:sz w:val="18"/>
    </w:rPr>
  </w:style>
  <w:style w:type="paragraph" w:customStyle="1" w:styleId="85">
    <w:name w:val="NO"/>
    <w:basedOn w:val="1"/>
    <w:link w:val="150"/>
    <w:qFormat/>
    <w:uiPriority w:val="0"/>
    <w:pPr>
      <w:keepLines/>
      <w:ind w:left="1135" w:hanging="851"/>
    </w:pPr>
  </w:style>
  <w:style w:type="paragraph" w:customStyle="1" w:styleId="86">
    <w:name w:val="TAR"/>
    <w:basedOn w:val="62"/>
    <w:qFormat/>
    <w:uiPriority w:val="0"/>
    <w:pPr>
      <w:jc w:val="right"/>
    </w:pPr>
  </w:style>
  <w:style w:type="paragraph" w:customStyle="1" w:styleId="87">
    <w:name w:val="CR Cover Page"/>
    <w:qFormat/>
    <w:uiPriority w:val="0"/>
    <w:pPr>
      <w:spacing w:after="120"/>
    </w:pPr>
    <w:rPr>
      <w:rFonts w:ascii="Arial" w:hAnsi="Arial" w:eastAsia="Malgun Gothic" w:cs="Times New Roman"/>
      <w:lang w:val="en-GB" w:eastAsia="en-US" w:bidi="ar-SA"/>
    </w:rPr>
  </w:style>
  <w:style w:type="paragraph" w:customStyle="1" w:styleId="88">
    <w:name w:val="B4"/>
    <w:basedOn w:val="36"/>
    <w:link w:val="137"/>
    <w:qFormat/>
    <w:uiPriority w:val="0"/>
  </w:style>
  <w:style w:type="paragraph" w:customStyle="1" w:styleId="89">
    <w:name w:val="样式 列表 + (西文) MS Mincho"/>
    <w:basedOn w:val="14"/>
    <w:link w:val="139"/>
    <w:qFormat/>
    <w:uiPriority w:val="0"/>
  </w:style>
  <w:style w:type="paragraph" w:customStyle="1" w:styleId="90">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1">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3">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4">
    <w:name w:val="ZV"/>
    <w:basedOn w:val="95"/>
    <w:qFormat/>
    <w:uiPriority w:val="0"/>
    <w:pPr>
      <w:framePr w:y="16161"/>
    </w:p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7">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8">
    <w:name w:val="样式 图表标题 + (中文) 宋体"/>
    <w:basedOn w:val="77"/>
    <w:qFormat/>
    <w:uiPriority w:val="0"/>
    <w:rPr>
      <w:rFonts w:eastAsia="Arial"/>
    </w:rPr>
  </w:style>
  <w:style w:type="paragraph" w:customStyle="1" w:styleId="99">
    <w:name w:val="TAN"/>
    <w:basedOn w:val="62"/>
    <w:qFormat/>
    <w:uiPriority w:val="0"/>
    <w:pPr>
      <w:ind w:left="851" w:hanging="851"/>
    </w:pPr>
  </w:style>
  <w:style w:type="paragraph" w:customStyle="1" w:styleId="100">
    <w:name w:val="00 BodyText"/>
    <w:basedOn w:val="1"/>
    <w:qFormat/>
    <w:uiPriority w:val="0"/>
    <w:pPr>
      <w:spacing w:after="220"/>
    </w:pPr>
    <w:rPr>
      <w:rFonts w:ascii="Arial" w:hAnsi="Arial"/>
      <w:sz w:val="22"/>
      <w:lang w:val="en-US"/>
    </w:rPr>
  </w:style>
  <w:style w:type="paragraph" w:customStyle="1" w:styleId="101">
    <w:name w:val="表格题注"/>
    <w:basedOn w:val="1"/>
    <w:qFormat/>
    <w:uiPriority w:val="0"/>
    <w:pPr>
      <w:numPr>
        <w:ilvl w:val="8"/>
        <w:numId w:val="1"/>
      </w:numPr>
    </w:pPr>
  </w:style>
  <w:style w:type="paragraph" w:customStyle="1" w:styleId="102">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03">
    <w:name w:val="ZTD"/>
    <w:basedOn w:val="104"/>
    <w:qFormat/>
    <w:uiPriority w:val="0"/>
    <w:pPr>
      <w:framePr w:hRule="auto" w:y="852"/>
    </w:pPr>
    <w:rPr>
      <w:i w:val="0"/>
      <w:sz w:val="40"/>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5">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6">
    <w:name w:val="List Paragraph"/>
    <w:basedOn w:val="1"/>
    <w:link w:val="152"/>
    <w:qFormat/>
    <w:uiPriority w:val="34"/>
    <w:pPr>
      <w:spacing w:after="0"/>
      <w:ind w:firstLine="420" w:firstLineChars="200"/>
    </w:pPr>
    <w:rPr>
      <w:sz w:val="24"/>
      <w:szCs w:val="24"/>
      <w:lang w:val="en-US" w:eastAsia="zh-CN"/>
    </w:rPr>
  </w:style>
  <w:style w:type="paragraph" w:customStyle="1" w:styleId="107">
    <w:name w:val="插图题注"/>
    <w:basedOn w:val="1"/>
    <w:qFormat/>
    <w:uiPriority w:val="0"/>
    <w:pPr>
      <w:numPr>
        <w:ilvl w:val="7"/>
        <w:numId w:val="1"/>
      </w:numPr>
    </w:pPr>
  </w:style>
  <w:style w:type="paragraph" w:customStyle="1" w:styleId="108">
    <w:name w:val="Agreement"/>
    <w:basedOn w:val="1"/>
    <w:next w:val="72"/>
    <w:qFormat/>
    <w:uiPriority w:val="0"/>
    <w:pPr>
      <w:numPr>
        <w:ilvl w:val="0"/>
        <w:numId w:val="10"/>
      </w:numPr>
      <w:spacing w:after="0"/>
      <w:jc w:val="left"/>
    </w:pPr>
    <w:rPr>
      <w:rFonts w:eastAsia="MS Mincho"/>
      <w:b/>
      <w:szCs w:val="24"/>
      <w:lang w:val="en-GB" w:eastAsia="en-GB"/>
    </w:rPr>
  </w:style>
  <w:style w:type="paragraph" w:customStyle="1" w:styleId="109">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0">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1">
    <w:name w:val="TAL Char Char"/>
    <w:basedOn w:val="1"/>
    <w:link w:val="147"/>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2">
    <w:name w:val="MTDisplayEquation"/>
    <w:basedOn w:val="1"/>
    <w:qFormat/>
    <w:uiPriority w:val="0"/>
    <w:pPr>
      <w:tabs>
        <w:tab w:val="center" w:pos="4820"/>
        <w:tab w:val="right" w:pos="9640"/>
      </w:tabs>
    </w:pPr>
    <w:rPr>
      <w:lang w:val="en-US"/>
    </w:rPr>
  </w:style>
  <w:style w:type="paragraph" w:customStyle="1" w:styleId="113">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4">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5">
    <w:name w:val="PatApp Body"/>
    <w:basedOn w:val="1"/>
    <w:qFormat/>
    <w:uiPriority w:val="0"/>
    <w:pPr>
      <w:widowControl/>
      <w:tabs>
        <w:tab w:val="left" w:pos="1080"/>
      </w:tabs>
      <w:spacing w:line="480" w:lineRule="auto"/>
      <w:jc w:val="left"/>
    </w:pPr>
    <w:rPr>
      <w:kern w:val="0"/>
      <w:sz w:val="24"/>
      <w:szCs w:val="20"/>
      <w:lang w:eastAsia="en-US"/>
    </w:rPr>
  </w:style>
  <w:style w:type="paragraph" w:customStyle="1" w:styleId="116">
    <w:name w:val="Comments"/>
    <w:basedOn w:val="1"/>
    <w:link w:val="141"/>
    <w:qFormat/>
    <w:uiPriority w:val="0"/>
    <w:pPr>
      <w:spacing w:before="40" w:after="0"/>
    </w:pPr>
    <w:rPr>
      <w:rFonts w:ascii="Arial" w:hAnsi="Arial" w:eastAsia="MS Mincho"/>
      <w:i/>
      <w:sz w:val="18"/>
      <w:szCs w:val="24"/>
      <w:lang w:eastAsia="en-GB"/>
    </w:rPr>
  </w:style>
  <w:style w:type="paragraph" w:customStyle="1" w:styleId="117">
    <w:name w:val="样式1"/>
    <w:basedOn w:val="1"/>
    <w:qFormat/>
    <w:uiPriority w:val="0"/>
  </w:style>
  <w:style w:type="paragraph" w:customStyle="1" w:styleId="118">
    <w:name w:val="EQ"/>
    <w:basedOn w:val="1"/>
    <w:next w:val="1"/>
    <w:qFormat/>
    <w:uiPriority w:val="0"/>
    <w:pPr>
      <w:keepLines/>
      <w:tabs>
        <w:tab w:val="center" w:pos="4536"/>
        <w:tab w:val="right" w:pos="9072"/>
      </w:tabs>
    </w:pPr>
  </w:style>
  <w:style w:type="paragraph" w:customStyle="1" w:styleId="119">
    <w:name w:val="B1"/>
    <w:basedOn w:val="14"/>
    <w:link w:val="161"/>
    <w:qFormat/>
    <w:uiPriority w:val="0"/>
    <w:pPr>
      <w:ind w:left="568" w:hanging="284"/>
    </w:pPr>
    <w:rPr>
      <w:rFonts w:eastAsia="MS Mincho"/>
      <w:lang w:eastAsia="ja-JP"/>
    </w:rPr>
  </w:style>
  <w:style w:type="paragraph" w:customStyle="1" w:styleId="120">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1">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2">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3">
    <w:name w:val="B2"/>
    <w:basedOn w:val="13"/>
    <w:link w:val="157"/>
    <w:qFormat/>
    <w:uiPriority w:val="0"/>
    <w:pPr>
      <w:overflowPunct w:val="0"/>
      <w:autoSpaceDE w:val="0"/>
      <w:autoSpaceDN w:val="0"/>
      <w:adjustRightInd w:val="0"/>
      <w:ind w:hanging="284"/>
      <w:textAlignment w:val="baseline"/>
    </w:pPr>
    <w:rPr>
      <w:rFonts w:eastAsia="宋体"/>
      <w:lang w:eastAsia="ja-JP"/>
    </w:rPr>
  </w:style>
  <w:style w:type="paragraph" w:customStyle="1" w:styleId="124">
    <w:name w:val="Editor's Note"/>
    <w:basedOn w:val="85"/>
    <w:link w:val="132"/>
    <w:qFormat/>
    <w:uiPriority w:val="0"/>
    <w:rPr>
      <w:color w:val="FF0000"/>
    </w:rPr>
  </w:style>
  <w:style w:type="paragraph" w:customStyle="1" w:styleId="125">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6">
    <w:name w:val="NW"/>
    <w:basedOn w:val="85"/>
    <w:qFormat/>
    <w:uiPriority w:val="0"/>
    <w:pPr>
      <w:spacing w:after="0"/>
    </w:pPr>
  </w:style>
  <w:style w:type="paragraph" w:customStyle="1" w:styleId="127">
    <w:name w:val="B3"/>
    <w:basedOn w:val="12"/>
    <w:qFormat/>
    <w:uiPriority w:val="0"/>
  </w:style>
  <w:style w:type="character" w:customStyle="1" w:styleId="128">
    <w:name w:val="样式 宋体 蓝色"/>
    <w:qFormat/>
    <w:uiPriority w:val="0"/>
    <w:rPr>
      <w:rFonts w:ascii="Times New Roman" w:hAnsi="Times New Roman" w:eastAsia="宋体"/>
      <w:color w:val="0000FF"/>
    </w:rPr>
  </w:style>
  <w:style w:type="character" w:customStyle="1" w:styleId="129">
    <w:name w:val="TF Char"/>
    <w:link w:val="58"/>
    <w:qFormat/>
    <w:uiPriority w:val="0"/>
    <w:rPr>
      <w:rFonts w:ascii="Arial" w:hAnsi="Arial" w:eastAsia="宋体"/>
      <w:b/>
      <w:lang w:val="en-GB" w:eastAsia="en-US"/>
    </w:rPr>
  </w:style>
  <w:style w:type="character" w:customStyle="1" w:styleId="130">
    <w:name w:val="NO Zchn"/>
    <w:qFormat/>
    <w:uiPriority w:val="0"/>
  </w:style>
  <w:style w:type="character" w:customStyle="1" w:styleId="131">
    <w:name w:val="ZGSM"/>
    <w:qFormat/>
    <w:uiPriority w:val="0"/>
  </w:style>
  <w:style w:type="character" w:customStyle="1" w:styleId="132">
    <w:name w:val="Editor's Note Char"/>
    <w:link w:val="124"/>
    <w:qFormat/>
    <w:uiPriority w:val="0"/>
    <w:rPr>
      <w:color w:val="FF0000"/>
      <w:lang w:val="en-GB" w:eastAsia="en-US" w:bidi="ar-SA"/>
    </w:rPr>
  </w:style>
  <w:style w:type="character" w:customStyle="1" w:styleId="133">
    <w:name w:val="TH Char"/>
    <w:link w:val="59"/>
    <w:qFormat/>
    <w:uiPriority w:val="0"/>
    <w:rPr>
      <w:rFonts w:ascii="Arial" w:hAnsi="Arial" w:eastAsia="宋体"/>
      <w:b/>
      <w:lang w:val="en-GB" w:eastAsia="en-US" w:bidi="ar-SA"/>
    </w:rPr>
  </w:style>
  <w:style w:type="character" w:customStyle="1" w:styleId="134">
    <w:name w:val="列表 Char"/>
    <w:link w:val="14"/>
    <w:qFormat/>
    <w:uiPriority w:val="0"/>
    <w:rPr>
      <w:rFonts w:eastAsia="宋体"/>
      <w:lang w:val="en-GB" w:eastAsia="en-US" w:bidi="ar-SA"/>
    </w:rPr>
  </w:style>
  <w:style w:type="character" w:customStyle="1" w:styleId="135">
    <w:name w:val="页眉 Char"/>
    <w:link w:val="33"/>
    <w:qFormat/>
    <w:uiPriority w:val="99"/>
    <w:rPr>
      <w:rFonts w:ascii="Arial" w:hAnsi="Arial"/>
      <w:b/>
      <w:sz w:val="18"/>
      <w:lang w:val="en-GB" w:eastAsia="en-US" w:bidi="ar-SA"/>
    </w:rPr>
  </w:style>
  <w:style w:type="character" w:customStyle="1" w:styleId="136">
    <w:name w:val="yinbiao"/>
    <w:basedOn w:val="47"/>
    <w:qFormat/>
    <w:uiPriority w:val="0"/>
  </w:style>
  <w:style w:type="character" w:customStyle="1" w:styleId="137">
    <w:name w:val="B4 Char"/>
    <w:link w:val="88"/>
    <w:qFormat/>
    <w:uiPriority w:val="0"/>
    <w:rPr>
      <w:lang w:val="en-GB" w:eastAsia="en-US" w:bidi="ar-SA"/>
    </w:rPr>
  </w:style>
  <w:style w:type="character" w:customStyle="1" w:styleId="138">
    <w:name w:val="Doc-text2 Char"/>
    <w:link w:val="72"/>
    <w:qFormat/>
    <w:uiPriority w:val="0"/>
    <w:rPr>
      <w:rFonts w:ascii="Arial" w:hAnsi="Arial"/>
      <w:szCs w:val="24"/>
      <w:lang w:val="en-GB" w:eastAsia="en-GB"/>
    </w:rPr>
  </w:style>
  <w:style w:type="character" w:customStyle="1" w:styleId="139">
    <w:name w:val="样式 列表 + (西文) MS Mincho Char"/>
    <w:basedOn w:val="134"/>
    <w:link w:val="89"/>
    <w:qFormat/>
    <w:uiPriority w:val="0"/>
  </w:style>
  <w:style w:type="character" w:customStyle="1" w:styleId="140">
    <w:name w:val="TAH Char"/>
    <w:qFormat/>
    <w:uiPriority w:val="0"/>
    <w:rPr>
      <w:rFonts w:ascii="Arial" w:hAnsi="Arial"/>
      <w:b/>
      <w:sz w:val="18"/>
    </w:rPr>
  </w:style>
  <w:style w:type="character" w:customStyle="1" w:styleId="141">
    <w:name w:val="Comments Char"/>
    <w:link w:val="116"/>
    <w:qFormat/>
    <w:uiPriority w:val="0"/>
    <w:rPr>
      <w:rFonts w:ascii="Arial" w:hAnsi="Arial"/>
      <w:i/>
      <w:sz w:val="18"/>
      <w:szCs w:val="24"/>
      <w:lang w:val="en-GB" w:eastAsia="en-GB"/>
    </w:rPr>
  </w:style>
  <w:style w:type="character" w:customStyle="1" w:styleId="142">
    <w:name w:val="正文文本 Char"/>
    <w:link w:val="29"/>
    <w:qFormat/>
    <w:uiPriority w:val="0"/>
    <w:rPr>
      <w:lang w:val="en-GB" w:eastAsia="en-US"/>
    </w:rPr>
  </w:style>
  <w:style w:type="character" w:customStyle="1" w:styleId="143">
    <w:name w:val="TAL Char"/>
    <w:qFormat/>
    <w:uiPriority w:val="0"/>
    <w:rPr>
      <w:rFonts w:ascii="Arial" w:hAnsi="Arial" w:eastAsia="宋体"/>
      <w:sz w:val="18"/>
      <w:lang w:val="en-GB" w:eastAsia="en-GB"/>
    </w:rPr>
  </w:style>
  <w:style w:type="character" w:customStyle="1" w:styleId="144">
    <w:name w:val="msoins"/>
    <w:qFormat/>
    <w:uiPriority w:val="0"/>
  </w:style>
  <w:style w:type="character" w:customStyle="1" w:styleId="145">
    <w:name w:val="TAH Car"/>
    <w:link w:val="78"/>
    <w:qFormat/>
    <w:locked/>
    <w:uiPriority w:val="0"/>
    <w:rPr>
      <w:rFonts w:ascii="Arial" w:hAnsi="Arial" w:eastAsia="宋体"/>
      <w:b/>
      <w:sz w:val="18"/>
      <w:lang w:val="en-GB" w:eastAsia="en-US"/>
    </w:rPr>
  </w:style>
  <w:style w:type="character" w:customStyle="1" w:styleId="146">
    <w:name w:val="B1 Zchn"/>
    <w:qFormat/>
    <w:uiPriority w:val="0"/>
    <w:rPr>
      <w:rFonts w:eastAsia="MS Mincho"/>
      <w:lang w:val="en-GB" w:eastAsia="en-US"/>
    </w:rPr>
  </w:style>
  <w:style w:type="character" w:customStyle="1" w:styleId="147">
    <w:name w:val="TAL Char Char Char"/>
    <w:link w:val="111"/>
    <w:qFormat/>
    <w:uiPriority w:val="0"/>
    <w:rPr>
      <w:rFonts w:ascii="Arial" w:hAnsi="Arial"/>
      <w:sz w:val="18"/>
      <w:lang w:val="en-GB" w:eastAsia="en-US" w:bidi="ar-SA"/>
    </w:rPr>
  </w:style>
  <w:style w:type="character" w:customStyle="1" w:styleId="148">
    <w:name w:val="TAC Char"/>
    <w:link w:val="61"/>
    <w:qFormat/>
    <w:locked/>
    <w:uiPriority w:val="0"/>
    <w:rPr>
      <w:rFonts w:ascii="Arial" w:hAnsi="Arial" w:eastAsia="宋体"/>
      <w:sz w:val="18"/>
      <w:lang w:val="en-GB" w:eastAsia="en-US"/>
    </w:rPr>
  </w:style>
  <w:style w:type="character" w:customStyle="1" w:styleId="149">
    <w:name w:val="TAL Car"/>
    <w:link w:val="62"/>
    <w:qFormat/>
    <w:uiPriority w:val="0"/>
    <w:rPr>
      <w:rFonts w:ascii="Arial" w:hAnsi="Arial"/>
      <w:sz w:val="18"/>
      <w:lang w:val="en-GB" w:eastAsia="en-US" w:bidi="ar-SA"/>
    </w:rPr>
  </w:style>
  <w:style w:type="character" w:customStyle="1" w:styleId="150">
    <w:name w:val="NO Char"/>
    <w:link w:val="85"/>
    <w:qFormat/>
    <w:uiPriority w:val="0"/>
    <w:rPr>
      <w:lang w:val="en-GB" w:eastAsia="en-US" w:bidi="ar-SA"/>
    </w:rPr>
  </w:style>
  <w:style w:type="character" w:customStyle="1" w:styleId="151">
    <w:name w:val="B2 Car"/>
    <w:qFormat/>
    <w:uiPriority w:val="0"/>
    <w:rPr>
      <w:rFonts w:eastAsia="Times New Roman"/>
    </w:rPr>
  </w:style>
  <w:style w:type="character" w:customStyle="1" w:styleId="152">
    <w:name w:val="列出段落 Char"/>
    <w:link w:val="106"/>
    <w:qFormat/>
    <w:uiPriority w:val="34"/>
    <w:rPr>
      <w:rFonts w:eastAsia="宋体"/>
      <w:sz w:val="24"/>
      <w:szCs w:val="24"/>
    </w:rPr>
  </w:style>
  <w:style w:type="character" w:customStyle="1" w:styleId="153">
    <w:name w:val="标题 1 Char"/>
    <w:link w:val="2"/>
    <w:qFormat/>
    <w:uiPriority w:val="0"/>
    <w:rPr>
      <w:rFonts w:ascii="Arial" w:hAnsi="Arial"/>
      <w:sz w:val="32"/>
      <w:lang w:val="en-GB" w:eastAsia="en-US"/>
    </w:rPr>
  </w:style>
  <w:style w:type="character" w:customStyle="1" w:styleId="154">
    <w:name w:val="标题 3 Char"/>
    <w:link w:val="4"/>
    <w:qFormat/>
    <w:uiPriority w:val="0"/>
    <w:rPr>
      <w:sz w:val="24"/>
    </w:rPr>
  </w:style>
  <w:style w:type="character" w:customStyle="1" w:styleId="155">
    <w:name w:val="3GPP Text Char"/>
    <w:link w:val="113"/>
    <w:qFormat/>
    <w:uiPriority w:val="0"/>
    <w:rPr>
      <w:rFonts w:eastAsia="宋体"/>
      <w:sz w:val="22"/>
      <w:lang w:eastAsia="en-US"/>
    </w:rPr>
  </w:style>
  <w:style w:type="character" w:customStyle="1" w:styleId="156">
    <w:name w:val="3GPP Agreements Char"/>
    <w:link w:val="90"/>
    <w:qFormat/>
    <w:uiPriority w:val="0"/>
    <w:rPr>
      <w:rFonts w:eastAsia="宋体"/>
      <w:sz w:val="22"/>
      <w:szCs w:val="22"/>
    </w:rPr>
  </w:style>
  <w:style w:type="character" w:customStyle="1" w:styleId="157">
    <w:name w:val="B2 Char"/>
    <w:link w:val="123"/>
    <w:qFormat/>
    <w:uiPriority w:val="0"/>
    <w:rPr>
      <w:rFonts w:eastAsia="宋体"/>
      <w:lang w:val="en-GB" w:eastAsia="ja-JP"/>
    </w:rPr>
  </w:style>
  <w:style w:type="character" w:customStyle="1" w:styleId="158">
    <w:name w:val="PL Char"/>
    <w:link w:val="79"/>
    <w:qFormat/>
    <w:uiPriority w:val="0"/>
    <w:rPr>
      <w:rFonts w:ascii="Courier New" w:hAnsi="Courier New"/>
      <w:sz w:val="16"/>
      <w:lang w:val="en-GB" w:eastAsia="en-US" w:bidi="ar-SA"/>
    </w:rPr>
  </w:style>
  <w:style w:type="character" w:customStyle="1" w:styleId="159">
    <w:name w:val="批注文字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19"/>
    <w:qFormat/>
    <w:uiPriority w:val="0"/>
    <w:rPr>
      <w:rFonts w:eastAsia="MS Mincho"/>
      <w:lang w:val="en-GB" w:eastAsia="ja-JP" w:bidi="ar-SA"/>
    </w:rPr>
  </w:style>
  <w:style w:type="character" w:customStyle="1" w:styleId="162">
    <w:name w:val="标题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spacing w:beforeLines="0" w:afterLines="0"/>
    </w:pPr>
    <w:rPr>
      <w:rFonts w:hint="default" w:ascii="Calibri" w:hAnsi="Calibri" w:eastAsia="Calibri" w:cs="Times New Roman"/>
      <w:color w:val="00000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1943</Words>
  <Characters>11077</Characters>
  <Lines>92</Lines>
  <Paragraphs>25</Paragraphs>
  <TotalTime>0</TotalTime>
  <ScaleCrop>false</ScaleCrop>
  <LinksUpToDate>false</LinksUpToDate>
  <CharactersWithSpaces>12995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ZTE-Lin Chen</cp:lastModifiedBy>
  <cp:lastPrinted>2009-04-22T01:01:00Z</cp:lastPrinted>
  <dcterms:modified xsi:type="dcterms:W3CDTF">2022-09-30T09:28:34Z</dcterms:modified>
  <dc:title>3GPP TSG-RAN WG2</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2052-11.8.2.9022</vt:lpwstr>
  </property>
</Properties>
</file>